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0A6B" w14:textId="39667647" w:rsidR="00904F26" w:rsidRPr="003E2E3E" w:rsidRDefault="00375B77" w:rsidP="000E5EAD">
      <w:pPr>
        <w:pStyle w:val="Heading1"/>
        <w:spacing w:before="0"/>
        <w:rPr>
          <w:rFonts w:ascii="Atkinson Hyperlegible Next" w:eastAsiaTheme="minorEastAsia" w:hAnsi="Atkinson Hyperlegible Next" w:cstheme="minorBidi"/>
          <w:b/>
          <w:bCs/>
          <w:color w:val="660033"/>
        </w:rPr>
      </w:pPr>
      <w:r w:rsidRPr="058E47AF">
        <w:rPr>
          <w:rFonts w:ascii="Atkinson Hyperlegible Next" w:eastAsiaTheme="minorEastAsia" w:hAnsi="Atkinson Hyperlegible Next" w:cstheme="minorBidi"/>
          <w:b/>
          <w:bCs/>
          <w:color w:val="660033"/>
        </w:rPr>
        <w:t>All-Party Parliamentary Health Group</w:t>
      </w:r>
      <w:r w:rsidR="00904F26" w:rsidRPr="058E47AF">
        <w:rPr>
          <w:rFonts w:ascii="Atkinson Hyperlegible Next" w:eastAsiaTheme="minorEastAsia" w:hAnsi="Atkinson Hyperlegible Next" w:cstheme="minorBidi"/>
          <w:b/>
          <w:bCs/>
          <w:color w:val="660033"/>
        </w:rPr>
        <w:t>: Call for Evidence</w:t>
      </w:r>
      <w:r w:rsidRPr="058E47AF">
        <w:rPr>
          <w:rFonts w:ascii="Atkinson Hyperlegible Next" w:eastAsiaTheme="minorEastAsia" w:hAnsi="Atkinson Hyperlegible Next" w:cstheme="minorBidi"/>
          <w:b/>
          <w:bCs/>
          <w:color w:val="660033"/>
        </w:rPr>
        <w:t xml:space="preserve"> 2026</w:t>
      </w:r>
    </w:p>
    <w:p w14:paraId="08189CB1" w14:textId="59488DF9" w:rsidR="00904F26" w:rsidRPr="003E2E3E" w:rsidRDefault="00375B77" w:rsidP="00375B77">
      <w:pPr>
        <w:rPr>
          <w:rFonts w:ascii="Atkinson Hyperlegible Next" w:hAnsi="Atkinson Hyperlegible Next"/>
          <w:b/>
          <w:bCs/>
          <w:color w:val="993366"/>
        </w:rPr>
      </w:pPr>
      <w:r w:rsidRPr="003E2E3E">
        <w:rPr>
          <w:rFonts w:ascii="Atkinson Hyperlegible Next" w:hAnsi="Atkinson Hyperlegible Next"/>
          <w:b/>
          <w:bCs/>
          <w:i/>
          <w:iCs/>
          <w:color w:val="993366"/>
        </w:rPr>
        <w:t>APPG for Health – Inquiry on Improving Access to Primary Care</w:t>
      </w:r>
    </w:p>
    <w:p w14:paraId="333FE268" w14:textId="77777777" w:rsidR="00904F26" w:rsidRPr="003E2E3E" w:rsidRDefault="00904F26" w:rsidP="00904F26">
      <w:pPr>
        <w:pStyle w:val="Heading3"/>
        <w:rPr>
          <w:rFonts w:ascii="Atkinson Hyperlegible Next" w:eastAsiaTheme="minorEastAsia" w:hAnsi="Atkinson Hyperlegible Next" w:cstheme="minorBidi"/>
          <w:b/>
          <w:bCs/>
          <w:color w:val="993366"/>
        </w:rPr>
      </w:pPr>
      <w:r w:rsidRPr="003E2E3E">
        <w:rPr>
          <w:rFonts w:ascii="Atkinson Hyperlegible Next" w:eastAsiaTheme="minorEastAsia" w:hAnsi="Atkinson Hyperlegible Next" w:cstheme="minorBidi"/>
          <w:b/>
          <w:bCs/>
          <w:color w:val="993366"/>
        </w:rPr>
        <w:t xml:space="preserve">Call for Evidence Overview </w:t>
      </w:r>
    </w:p>
    <w:p w14:paraId="71462224" w14:textId="47BBEF3E" w:rsidR="00904F26" w:rsidRPr="003E2E3E" w:rsidRDefault="00904F26" w:rsidP="058E47AF">
      <w:pPr>
        <w:rPr>
          <w:rFonts w:ascii="Atkinson Hyperlegible Next" w:hAnsi="Atkinson Hyperlegible Next"/>
        </w:rPr>
      </w:pPr>
      <w:r w:rsidRPr="058E47AF">
        <w:rPr>
          <w:rFonts w:ascii="Atkinson Hyperlegible Next" w:hAnsi="Atkinson Hyperlegible Next"/>
        </w:rPr>
        <w:t>Primary care services remain the cornerstone of NHS provision but face significant and intensifying access challenges, driven by increased patient demand, persistent workforce shortages, inadequate funding, and stark regional disparities.</w:t>
      </w:r>
    </w:p>
    <w:p w14:paraId="2990A600" w14:textId="77777777" w:rsidR="00904F26" w:rsidRPr="003E2E3E" w:rsidRDefault="00904F26" w:rsidP="00904F26">
      <w:pPr>
        <w:rPr>
          <w:rFonts w:ascii="Atkinson Hyperlegible Next" w:hAnsi="Atkinson Hyperlegible Next" w:cstheme="minorHAnsi"/>
        </w:rPr>
      </w:pPr>
      <w:r w:rsidRPr="003E2E3E">
        <w:rPr>
          <w:rFonts w:ascii="Atkinson Hyperlegible Next" w:hAnsi="Atkinson Hyperlegible Next" w:cstheme="minorHAnsi"/>
        </w:rPr>
        <w:t xml:space="preserve">Robust evidence consistently identifies persistent workforce shortages, outdated infrastructure, patchy digital integration, structural health inequalities and barriers to access, and inconsistent funding </w:t>
      </w:r>
      <w:r w:rsidRPr="00374ABD">
        <w:rPr>
          <w:rFonts w:ascii="Atkinson Hyperlegible Next" w:hAnsi="Atkinson Hyperlegible Next" w:cstheme="minorHAnsi"/>
          <w:color w:val="000000" w:themeColor="text1"/>
        </w:rPr>
        <w:t xml:space="preserve">streams </w:t>
      </w:r>
      <w:r w:rsidRPr="003E2E3E">
        <w:rPr>
          <w:rFonts w:ascii="Atkinson Hyperlegible Next" w:hAnsi="Atkinson Hyperlegible Next" w:cstheme="minorHAnsi"/>
        </w:rPr>
        <w:t xml:space="preserve">as primary obstacles to effective service provision. </w:t>
      </w:r>
    </w:p>
    <w:p w14:paraId="1B59D55F" w14:textId="29CA5464" w:rsidR="00904F26" w:rsidRPr="003E2E3E" w:rsidRDefault="00904F26" w:rsidP="00904F26">
      <w:pPr>
        <w:rPr>
          <w:rFonts w:ascii="Atkinson Hyperlegible Next" w:hAnsi="Atkinson Hyperlegible Next" w:cstheme="minorHAnsi"/>
        </w:rPr>
      </w:pPr>
      <w:r w:rsidRPr="003E2E3E">
        <w:rPr>
          <w:rFonts w:ascii="Atkinson Hyperlegible Next" w:hAnsi="Atkinson Hyperlegible Next" w:cstheme="minorHAnsi"/>
        </w:rPr>
        <w:t>This inquiry into access to primary care by the All-Party Parliamentary Health Group (APHG) will critically assess and identify further actions required to ensure primary care becomes sustainably accessible, equitable, and responsive to the evolving needs of the UK population.</w:t>
      </w:r>
    </w:p>
    <w:p w14:paraId="605B533C" w14:textId="00141FF5" w:rsidR="00904F26" w:rsidRPr="003E2E3E" w:rsidRDefault="00904F26" w:rsidP="058E47AF">
      <w:pPr>
        <w:rPr>
          <w:rFonts w:ascii="Atkinson Hyperlegible Next" w:hAnsi="Atkinson Hyperlegible Next"/>
        </w:rPr>
      </w:pPr>
      <w:r w:rsidRPr="058E47AF">
        <w:rPr>
          <w:rFonts w:ascii="Atkinson Hyperlegible Next" w:hAnsi="Atkinson Hyperlegible Next"/>
        </w:rPr>
        <w:t>The inquiry aims to deliver evidence-based policy recommendations to ensure equitable, efficient and sustainable access to primary care including general practice, community pharmacy, dentistry</w:t>
      </w:r>
      <w:r w:rsidR="00D11BE3">
        <w:rPr>
          <w:rFonts w:ascii="Atkinson Hyperlegible Next" w:hAnsi="Atkinson Hyperlegible Next"/>
        </w:rPr>
        <w:t>,</w:t>
      </w:r>
      <w:r w:rsidRPr="058E47AF">
        <w:rPr>
          <w:rFonts w:ascii="Atkinson Hyperlegible Next" w:hAnsi="Atkinson Hyperlegible Next"/>
        </w:rPr>
        <w:t xml:space="preserve"> and optometry by 2035, in alignment with the Government’s 10-Year Health Plan. This inquiry will develop a strategic recommendation that provide coordinated policy solutions, capable of delivering lasting improvements in primary care that transcend electoral cycles.</w:t>
      </w:r>
    </w:p>
    <w:p w14:paraId="1AB81C30" w14:textId="0F6B70E2" w:rsidR="00904F26" w:rsidRPr="003E2E3E" w:rsidRDefault="00904F26" w:rsidP="00904F26">
      <w:pPr>
        <w:rPr>
          <w:rFonts w:ascii="Atkinson Hyperlegible Next" w:hAnsi="Atkinson Hyperlegible Next" w:cstheme="minorHAnsi"/>
        </w:rPr>
      </w:pPr>
      <w:r w:rsidRPr="003E2E3E">
        <w:rPr>
          <w:rFonts w:ascii="Atkinson Hyperlegible Next" w:hAnsi="Atkinson Hyperlegible Next" w:cstheme="minorHAnsi"/>
        </w:rPr>
        <w:t>The inquiry is co-chaired by cross-party parliamentarians</w:t>
      </w:r>
      <w:r w:rsidR="00BD4B92" w:rsidRPr="003E2E3E">
        <w:rPr>
          <w:rFonts w:ascii="Atkinson Hyperlegible Next" w:hAnsi="Atkinson Hyperlegible Next" w:cstheme="minorHAnsi"/>
        </w:rPr>
        <w:t>:</w:t>
      </w:r>
    </w:p>
    <w:p w14:paraId="1B700925" w14:textId="386B9753" w:rsidR="00904F26" w:rsidRPr="003E2E3E" w:rsidRDefault="00904F26" w:rsidP="00904F26">
      <w:pPr>
        <w:rPr>
          <w:rFonts w:ascii="Atkinson Hyperlegible Next" w:hAnsi="Atkinson Hyperlegible Next" w:cstheme="minorHAnsi"/>
          <w:b/>
          <w:bCs/>
        </w:rPr>
      </w:pPr>
      <w:r w:rsidRPr="003E2E3E">
        <w:rPr>
          <w:rFonts w:ascii="Atkinson Hyperlegible Next" w:hAnsi="Atkinson Hyperlegible Next" w:cstheme="minorHAnsi"/>
          <w:b/>
          <w:bCs/>
        </w:rPr>
        <w:t xml:space="preserve">Dr Simon Opher MP (Labour), Jess Brown Fuller MP (Liberal Democrats), Lord </w:t>
      </w:r>
      <w:proofErr w:type="spellStart"/>
      <w:r w:rsidRPr="003E2E3E">
        <w:rPr>
          <w:rFonts w:ascii="Atkinson Hyperlegible Next" w:hAnsi="Atkinson Hyperlegible Next" w:cstheme="minorHAnsi"/>
          <w:b/>
          <w:bCs/>
        </w:rPr>
        <w:t>Kamall</w:t>
      </w:r>
      <w:proofErr w:type="spellEnd"/>
      <w:r w:rsidRPr="003E2E3E">
        <w:rPr>
          <w:rFonts w:ascii="Atkinson Hyperlegible Next" w:hAnsi="Atkinson Hyperlegible Next" w:cstheme="minorHAnsi"/>
          <w:b/>
          <w:bCs/>
        </w:rPr>
        <w:t xml:space="preserve"> (Conservative) and Sadik-Al Hassan MP (Labour)</w:t>
      </w:r>
    </w:p>
    <w:p w14:paraId="5149E217" w14:textId="37CA0126" w:rsidR="005C6B22" w:rsidRPr="003E2E3E" w:rsidRDefault="005C6B22" w:rsidP="058E47AF">
      <w:pPr>
        <w:pStyle w:val="Heading1"/>
        <w:pBdr>
          <w:bottom w:val="single" w:sz="6" w:space="1" w:color="auto"/>
        </w:pBdr>
        <w:spacing w:before="0" w:line="240" w:lineRule="auto"/>
        <w:rPr>
          <w:rFonts w:ascii="Atkinson Hyperlegible Next" w:hAnsi="Atkinson Hyperlegible Next"/>
          <w:color w:val="993366"/>
          <w:sz w:val="36"/>
          <w:szCs w:val="36"/>
        </w:rPr>
      </w:pPr>
      <w:r w:rsidRPr="058E47AF">
        <w:rPr>
          <w:rFonts w:ascii="Atkinson Hyperlegible Next" w:hAnsi="Atkinson Hyperlegible Next"/>
          <w:color w:val="993366"/>
          <w:sz w:val="36"/>
          <w:szCs w:val="36"/>
        </w:rPr>
        <w:t>Inquiry sponsor</w:t>
      </w:r>
      <w:r w:rsidR="00BD4B92" w:rsidRPr="058E47AF">
        <w:rPr>
          <w:rFonts w:ascii="Atkinson Hyperlegible Next" w:hAnsi="Atkinson Hyperlegible Next"/>
          <w:color w:val="993366"/>
          <w:sz w:val="36"/>
          <w:szCs w:val="36"/>
        </w:rPr>
        <w:t>s</w:t>
      </w:r>
    </w:p>
    <w:p w14:paraId="6EE03DF8" w14:textId="4E2F5B94" w:rsidR="005C6B22" w:rsidRPr="003E2E3E" w:rsidRDefault="5CB4470C" w:rsidP="058E47AF">
      <w:pPr>
        <w:contextualSpacing/>
        <w:jc w:val="center"/>
        <w:rPr>
          <w:rFonts w:ascii="Atkinson Hyperlegible Next" w:hAnsi="Atkinson Hyperlegible Next" w:cs="Calibri"/>
          <w:sz w:val="16"/>
          <w:szCs w:val="16"/>
        </w:rPr>
      </w:pPr>
      <w:r>
        <w:rPr>
          <w:noProof/>
        </w:rPr>
        <w:drawing>
          <wp:inline distT="0" distB="0" distL="0" distR="0" wp14:anchorId="00475CF2" wp14:editId="7DA426FD">
            <wp:extent cx="1230630" cy="636270"/>
            <wp:effectExtent l="0" t="0" r="7620" b="0"/>
            <wp:docPr id="1768544420"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44420" name="Picture 3"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0630" cy="636270"/>
                    </a:xfrm>
                    <a:prstGeom prst="rect">
                      <a:avLst/>
                    </a:prstGeom>
                  </pic:spPr>
                </pic:pic>
              </a:graphicData>
            </a:graphic>
          </wp:inline>
        </w:drawing>
      </w:r>
      <w:r w:rsidRPr="058E47AF">
        <w:rPr>
          <w:rFonts w:ascii="Atkinson Hyperlegible Next" w:hAnsi="Atkinson Hyperlegible Next"/>
          <w:noProof/>
        </w:rPr>
        <w:t xml:space="preserve">      </w:t>
      </w:r>
      <w:r>
        <w:rPr>
          <w:noProof/>
        </w:rPr>
        <w:drawing>
          <wp:inline distT="0" distB="0" distL="0" distR="0" wp14:anchorId="042A389B" wp14:editId="1DF7789F">
            <wp:extent cx="794385" cy="794385"/>
            <wp:effectExtent l="0" t="0" r="5715" b="5715"/>
            <wp:docPr id="529293660" name="Picture 5" descr="Assura p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ura pl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a:ln>
                      <a:noFill/>
                    </a:ln>
                  </pic:spPr>
                </pic:pic>
              </a:graphicData>
            </a:graphic>
          </wp:inline>
        </w:drawing>
      </w:r>
      <w:r w:rsidR="005C6B22" w:rsidRPr="058E47AF">
        <w:rPr>
          <w:rFonts w:ascii="Atkinson Hyperlegible Next" w:hAnsi="Atkinson Hyperlegible Next"/>
          <w:noProof/>
        </w:rPr>
        <w:t xml:space="preserve">  </w:t>
      </w:r>
    </w:p>
    <w:p w14:paraId="1D3FFE2D" w14:textId="0F3B9DE7" w:rsidR="005C6B22" w:rsidRPr="003E2E3E" w:rsidRDefault="005C6B22" w:rsidP="005C6B22">
      <w:pPr>
        <w:contextualSpacing/>
        <w:jc w:val="center"/>
        <w:rPr>
          <w:rFonts w:ascii="Atkinson Hyperlegible Next" w:hAnsi="Atkinson Hyperlegible Next" w:cs="Calibri"/>
          <w:sz w:val="16"/>
          <w:szCs w:val="16"/>
        </w:rPr>
      </w:pPr>
    </w:p>
    <w:p w14:paraId="3A19227E" w14:textId="53213A83" w:rsidR="005C6B22" w:rsidRPr="003E2E3E" w:rsidRDefault="005C6B22" w:rsidP="0877C90C">
      <w:pPr>
        <w:contextualSpacing/>
        <w:jc w:val="center"/>
        <w:rPr>
          <w:rFonts w:ascii="Atkinson Hyperlegible Next" w:hAnsi="Atkinson Hyperlegible Next"/>
        </w:rPr>
      </w:pPr>
    </w:p>
    <w:p w14:paraId="45F4C9AD" w14:textId="265097E0" w:rsidR="00904F26" w:rsidRPr="003E2E3E" w:rsidRDefault="00375B77" w:rsidP="00904F26">
      <w:pPr>
        <w:rPr>
          <w:rFonts w:ascii="Atkinson Hyperlegible Next" w:eastAsiaTheme="minorEastAsia" w:hAnsi="Atkinson Hyperlegible Next"/>
        </w:rPr>
      </w:pPr>
      <w:r w:rsidRPr="003E2E3E">
        <w:rPr>
          <w:rFonts w:ascii="Atkinson Hyperlegible Next" w:eastAsiaTheme="minorEastAsia" w:hAnsi="Atkinson Hyperlegible Next"/>
        </w:rPr>
        <w:t xml:space="preserve">The APHG’s inquiry into improving access to primary care services is kindly being headlined sponsored by the Institute for </w:t>
      </w:r>
      <w:r w:rsidR="00D11BE3">
        <w:rPr>
          <w:rFonts w:ascii="Atkinson Hyperlegible Next" w:eastAsiaTheme="minorEastAsia" w:hAnsi="Atkinson Hyperlegible Next"/>
        </w:rPr>
        <w:t>P</w:t>
      </w:r>
      <w:r w:rsidRPr="003E2E3E">
        <w:rPr>
          <w:rFonts w:ascii="Atkinson Hyperlegible Next" w:eastAsiaTheme="minorEastAsia" w:hAnsi="Atkinson Hyperlegible Next"/>
        </w:rPr>
        <w:t xml:space="preserve">ublic </w:t>
      </w:r>
      <w:r w:rsidR="00D11BE3">
        <w:rPr>
          <w:rFonts w:ascii="Atkinson Hyperlegible Next" w:eastAsiaTheme="minorEastAsia" w:hAnsi="Atkinson Hyperlegible Next"/>
        </w:rPr>
        <w:t>H</w:t>
      </w:r>
      <w:r w:rsidRPr="003E2E3E">
        <w:rPr>
          <w:rFonts w:ascii="Atkinson Hyperlegible Next" w:eastAsiaTheme="minorEastAsia" w:hAnsi="Atkinson Hyperlegible Next"/>
        </w:rPr>
        <w:t xml:space="preserve">ealth and </w:t>
      </w:r>
      <w:r w:rsidR="00D11BE3">
        <w:rPr>
          <w:rFonts w:ascii="Atkinson Hyperlegible Next" w:eastAsiaTheme="minorEastAsia" w:hAnsi="Atkinson Hyperlegible Next"/>
        </w:rPr>
        <w:t>W</w:t>
      </w:r>
      <w:r w:rsidRPr="003E2E3E">
        <w:rPr>
          <w:rFonts w:ascii="Atkinson Hyperlegible Next" w:eastAsiaTheme="minorEastAsia" w:hAnsi="Atkinson Hyperlegible Next"/>
        </w:rPr>
        <w:t xml:space="preserve">ellbeing at the University </w:t>
      </w:r>
      <w:r w:rsidR="00BD4B92" w:rsidRPr="003E2E3E">
        <w:rPr>
          <w:rFonts w:ascii="Atkinson Hyperlegible Next" w:eastAsiaTheme="minorEastAsia" w:hAnsi="Atkinson Hyperlegible Next"/>
        </w:rPr>
        <w:t xml:space="preserve">of Essex </w:t>
      </w:r>
      <w:r w:rsidRPr="003E2E3E">
        <w:rPr>
          <w:rFonts w:ascii="Atkinson Hyperlegible Next" w:eastAsiaTheme="minorEastAsia" w:hAnsi="Atkinson Hyperlegible Next"/>
        </w:rPr>
        <w:t xml:space="preserve">and co-sponsored by Assura. </w:t>
      </w:r>
    </w:p>
    <w:p w14:paraId="29822D30" w14:textId="56838AAA" w:rsidR="005A524A" w:rsidRPr="003E2E3E" w:rsidRDefault="00375B77" w:rsidP="00904F26">
      <w:pPr>
        <w:rPr>
          <w:rFonts w:ascii="Atkinson Hyperlegible Next" w:eastAsiaTheme="minorEastAsia" w:hAnsi="Atkinson Hyperlegible Next"/>
        </w:rPr>
      </w:pPr>
      <w:r w:rsidRPr="003E2E3E">
        <w:rPr>
          <w:rFonts w:ascii="Atkinson Hyperlegible Next" w:eastAsiaTheme="minorEastAsia" w:hAnsi="Atkinson Hyperlegible Next"/>
        </w:rPr>
        <w:t>Policy Connect provides the secretariat services for the All-Party Parliamentary Health Group.</w:t>
      </w:r>
    </w:p>
    <w:p w14:paraId="684ADA88" w14:textId="6ED7EBC5" w:rsidR="0877C90C" w:rsidRPr="003E2E3E" w:rsidRDefault="0877C90C" w:rsidP="0877C90C">
      <w:pPr>
        <w:rPr>
          <w:rFonts w:ascii="Atkinson Hyperlegible Next" w:eastAsiaTheme="minorEastAsia" w:hAnsi="Atkinson Hyperlegible Next"/>
        </w:rPr>
      </w:pPr>
    </w:p>
    <w:p w14:paraId="2E3475F2" w14:textId="3DBB4CBC" w:rsidR="0877C90C" w:rsidRPr="003E2E3E" w:rsidRDefault="0877C90C" w:rsidP="0877C90C">
      <w:pPr>
        <w:rPr>
          <w:rFonts w:ascii="Atkinson Hyperlegible Next" w:eastAsiaTheme="minorEastAsia" w:hAnsi="Atkinson Hyperlegible Next"/>
        </w:rPr>
      </w:pPr>
    </w:p>
    <w:p w14:paraId="71E260C1" w14:textId="1A6CCF42" w:rsidR="0877C90C" w:rsidRPr="003E2E3E" w:rsidRDefault="0877C90C" w:rsidP="058E47AF"/>
    <w:p w14:paraId="10D24AD3" w14:textId="70796E0C" w:rsidR="00F96614" w:rsidRPr="003E2E3E" w:rsidRDefault="00F96614" w:rsidP="00F96614">
      <w:pPr>
        <w:pStyle w:val="Heading1"/>
        <w:pBdr>
          <w:bottom w:val="single" w:sz="6" w:space="1" w:color="auto"/>
        </w:pBdr>
        <w:spacing w:before="0" w:line="240" w:lineRule="auto"/>
        <w:rPr>
          <w:rFonts w:ascii="Atkinson Hyperlegible Next" w:hAnsi="Atkinson Hyperlegible Next"/>
          <w:color w:val="993366"/>
          <w:sz w:val="36"/>
          <w:szCs w:val="36"/>
        </w:rPr>
      </w:pPr>
      <w:r w:rsidRPr="003E2E3E">
        <w:rPr>
          <w:rFonts w:ascii="Atkinson Hyperlegible Next" w:hAnsi="Atkinson Hyperlegible Next"/>
          <w:color w:val="993366"/>
          <w:sz w:val="36"/>
          <w:szCs w:val="36"/>
        </w:rPr>
        <w:lastRenderedPageBreak/>
        <w:t>Instructions</w:t>
      </w:r>
    </w:p>
    <w:p w14:paraId="1F73F2EC" w14:textId="77777777" w:rsidR="005A524A" w:rsidRPr="003E2E3E" w:rsidRDefault="005A524A" w:rsidP="005A524A">
      <w:pPr>
        <w:spacing w:after="0" w:line="240" w:lineRule="auto"/>
        <w:rPr>
          <w:rFonts w:ascii="Atkinson Hyperlegible Next" w:hAnsi="Atkinson Hyperlegible Next"/>
        </w:rPr>
      </w:pPr>
    </w:p>
    <w:p w14:paraId="3E3B0F97" w14:textId="7CDF21F2" w:rsidR="005A524A" w:rsidRPr="003E2E3E" w:rsidRDefault="005A524A" w:rsidP="058E47AF">
      <w:pPr>
        <w:rPr>
          <w:rFonts w:ascii="Atkinson Hyperlegible Next" w:hAnsi="Atkinson Hyperlegible Next"/>
          <w:b/>
          <w:bCs/>
        </w:rPr>
      </w:pPr>
      <w:r w:rsidRPr="058E47AF">
        <w:rPr>
          <w:rFonts w:ascii="Atkinson Hyperlegible Next" w:hAnsi="Atkinson Hyperlegible Next"/>
        </w:rPr>
        <w:t>Policy Connect is gathering evidence through ongoing roundtable sessions, interviews with expert stakeholders</w:t>
      </w:r>
      <w:r w:rsidR="00D11BE3">
        <w:rPr>
          <w:rFonts w:ascii="Atkinson Hyperlegible Next" w:hAnsi="Atkinson Hyperlegible Next"/>
        </w:rPr>
        <w:t>,</w:t>
      </w:r>
      <w:r w:rsidRPr="058E47AF">
        <w:rPr>
          <w:rFonts w:ascii="Atkinson Hyperlegible Next" w:hAnsi="Atkinson Hyperlegible Next"/>
        </w:rPr>
        <w:t xml:space="preserve"> and this written Call for Evidence. </w:t>
      </w:r>
      <w:r w:rsidRPr="058E47AF">
        <w:rPr>
          <w:rFonts w:ascii="Atkinson Hyperlegible Next" w:hAnsi="Atkinson Hyperlegible Next"/>
          <w:b/>
          <w:bCs/>
        </w:rPr>
        <w:t>We appreciate that you may prefer to respond only to the questions that align with your area of expertise.</w:t>
      </w:r>
    </w:p>
    <w:p w14:paraId="08215662" w14:textId="77777777" w:rsidR="005A524A" w:rsidRPr="003E2E3E" w:rsidRDefault="005A524A" w:rsidP="005A524A">
      <w:pPr>
        <w:rPr>
          <w:rFonts w:ascii="Atkinson Hyperlegible Next" w:eastAsiaTheme="minorEastAsia" w:hAnsi="Atkinson Hyperlegible Next"/>
        </w:rPr>
      </w:pPr>
      <w:r w:rsidRPr="003E2E3E">
        <w:rPr>
          <w:rFonts w:ascii="Atkinson Hyperlegible Next" w:eastAsiaTheme="minorEastAsia" w:hAnsi="Atkinson Hyperlegible Next"/>
        </w:rPr>
        <w:t>The questions are grouped into the following themes:</w:t>
      </w:r>
    </w:p>
    <w:p w14:paraId="4A8C9BF8" w14:textId="77777777" w:rsidR="005A524A" w:rsidRPr="003E2E3E" w:rsidRDefault="005A524A" w:rsidP="005A524A">
      <w:pPr>
        <w:rPr>
          <w:rFonts w:ascii="Atkinson Hyperlegible Next" w:hAnsi="Atkinson Hyperlegible Next"/>
          <w:b/>
          <w:bCs/>
        </w:rPr>
      </w:pPr>
      <w:r w:rsidRPr="003E2E3E">
        <w:rPr>
          <w:rFonts w:ascii="Atkinson Hyperlegible Next" w:hAnsi="Atkinson Hyperlegible Next"/>
          <w:b/>
          <w:bCs/>
        </w:rPr>
        <w:t>Theme 1. Reducing Health Inequalities and Access Barriers</w:t>
      </w:r>
    </w:p>
    <w:p w14:paraId="641592D5" w14:textId="77777777" w:rsidR="005A524A" w:rsidRPr="003E2E3E" w:rsidRDefault="005A524A" w:rsidP="005A524A">
      <w:pPr>
        <w:rPr>
          <w:rFonts w:ascii="Atkinson Hyperlegible Next" w:hAnsi="Atkinson Hyperlegible Next"/>
          <w:b/>
          <w:bCs/>
        </w:rPr>
      </w:pPr>
      <w:r w:rsidRPr="003E2E3E">
        <w:rPr>
          <w:rFonts w:ascii="Atkinson Hyperlegible Next" w:hAnsi="Atkinson Hyperlegible Next"/>
          <w:b/>
          <w:bCs/>
        </w:rPr>
        <w:t>Theme 2. Harnessing Digital Transformation and System Integration</w:t>
      </w:r>
    </w:p>
    <w:p w14:paraId="10C33856" w14:textId="77777777" w:rsidR="005A524A" w:rsidRPr="003E2E3E" w:rsidRDefault="005A524A" w:rsidP="005A524A">
      <w:pPr>
        <w:rPr>
          <w:rFonts w:ascii="Atkinson Hyperlegible Next" w:hAnsi="Atkinson Hyperlegible Next"/>
          <w:b/>
          <w:bCs/>
        </w:rPr>
      </w:pPr>
      <w:r w:rsidRPr="003E2E3E">
        <w:rPr>
          <w:rFonts w:ascii="Atkinson Hyperlegible Next" w:hAnsi="Atkinson Hyperlegible Next"/>
          <w:b/>
          <w:bCs/>
        </w:rPr>
        <w:t>Theme 3. Securing Long-Term Sustainability in Primary Care</w:t>
      </w:r>
    </w:p>
    <w:p w14:paraId="2F8B2543" w14:textId="3FF6EECD" w:rsidR="005A524A" w:rsidRPr="003E2E3E" w:rsidRDefault="005A524A" w:rsidP="005A524A">
      <w:pPr>
        <w:pStyle w:val="ListParagraph"/>
        <w:numPr>
          <w:ilvl w:val="0"/>
          <w:numId w:val="23"/>
        </w:numPr>
        <w:rPr>
          <w:rFonts w:ascii="Atkinson Hyperlegible Next" w:hAnsi="Atkinson Hyperlegible Next"/>
          <w:b/>
          <w:bCs/>
        </w:rPr>
      </w:pPr>
      <w:r w:rsidRPr="003E2E3E">
        <w:rPr>
          <w:rFonts w:ascii="Atkinson Hyperlegible Next" w:hAnsi="Atkinson Hyperlegible Next"/>
          <w:b/>
          <w:bCs/>
        </w:rPr>
        <w:t>Funding</w:t>
      </w:r>
    </w:p>
    <w:p w14:paraId="01AD54E9" w14:textId="77777777" w:rsidR="005A524A" w:rsidRPr="003E2E3E" w:rsidRDefault="005A524A" w:rsidP="005A524A">
      <w:pPr>
        <w:pStyle w:val="ListParagraph"/>
        <w:numPr>
          <w:ilvl w:val="0"/>
          <w:numId w:val="23"/>
        </w:numPr>
        <w:rPr>
          <w:rFonts w:ascii="Atkinson Hyperlegible Next" w:hAnsi="Atkinson Hyperlegible Next"/>
          <w:b/>
          <w:bCs/>
        </w:rPr>
      </w:pPr>
      <w:r w:rsidRPr="003E2E3E">
        <w:rPr>
          <w:rFonts w:ascii="Atkinson Hyperlegible Next" w:hAnsi="Atkinson Hyperlegible Next"/>
          <w:b/>
          <w:bCs/>
        </w:rPr>
        <w:t>Commissioning &amp; Contract Reform</w:t>
      </w:r>
    </w:p>
    <w:p w14:paraId="07839585" w14:textId="7973D076" w:rsidR="005A524A" w:rsidRPr="003E2E3E" w:rsidRDefault="005A524A" w:rsidP="005A524A">
      <w:pPr>
        <w:pStyle w:val="ListParagraph"/>
        <w:numPr>
          <w:ilvl w:val="0"/>
          <w:numId w:val="23"/>
        </w:numPr>
        <w:rPr>
          <w:rFonts w:ascii="Atkinson Hyperlegible Next" w:hAnsi="Atkinson Hyperlegible Next"/>
          <w:b/>
          <w:bCs/>
        </w:rPr>
      </w:pPr>
      <w:r w:rsidRPr="003E2E3E">
        <w:rPr>
          <w:rFonts w:ascii="Atkinson Hyperlegible Next" w:hAnsi="Atkinson Hyperlegible Next"/>
          <w:b/>
          <w:bCs/>
        </w:rPr>
        <w:t>Estates</w:t>
      </w:r>
    </w:p>
    <w:p w14:paraId="10BB9B22" w14:textId="57302759" w:rsidR="005A524A" w:rsidRPr="003E2E3E" w:rsidRDefault="005A524A" w:rsidP="005A524A">
      <w:pPr>
        <w:pStyle w:val="ListParagraph"/>
        <w:numPr>
          <w:ilvl w:val="0"/>
          <w:numId w:val="23"/>
        </w:numPr>
      </w:pPr>
      <w:r w:rsidRPr="058E47AF">
        <w:rPr>
          <w:rFonts w:ascii="Atkinson Hyperlegible Next" w:hAnsi="Atkinson Hyperlegible Next"/>
          <w:b/>
          <w:bCs/>
        </w:rPr>
        <w:t>Workforce</w:t>
      </w:r>
    </w:p>
    <w:p w14:paraId="4BA17D50" w14:textId="17ACCB4E" w:rsidR="005A524A" w:rsidRPr="003E2E3E" w:rsidRDefault="005A524A" w:rsidP="005A524A">
      <w:pPr>
        <w:rPr>
          <w:rFonts w:ascii="Atkinson Hyperlegible Next" w:hAnsi="Atkinson Hyperlegible Next"/>
          <w:b/>
          <w:bCs/>
        </w:rPr>
      </w:pPr>
      <w:r w:rsidRPr="003E2E3E">
        <w:rPr>
          <w:rFonts w:ascii="Atkinson Hyperlegible Next" w:hAnsi="Atkinson Hyperlegible Next"/>
          <w:b/>
          <w:bCs/>
        </w:rPr>
        <w:t>Theme 4: Additional considerations</w:t>
      </w:r>
    </w:p>
    <w:p w14:paraId="7AD1F51C" w14:textId="17263C40" w:rsidR="005A524A" w:rsidRPr="003E2E3E" w:rsidRDefault="005A524A" w:rsidP="005A524A">
      <w:pPr>
        <w:rPr>
          <w:rFonts w:ascii="Atkinson Hyperlegible Next" w:eastAsiaTheme="minorEastAsia" w:hAnsi="Atkinson Hyperlegible Next" w:cstheme="minorHAnsi"/>
          <w:b/>
          <w:bCs/>
          <w:color w:val="000000" w:themeColor="text1"/>
        </w:rPr>
      </w:pPr>
      <w:r w:rsidRPr="003E2E3E">
        <w:rPr>
          <w:rFonts w:ascii="Atkinson Hyperlegible Next" w:eastAsiaTheme="minorEastAsia" w:hAnsi="Atkinson Hyperlegible Next" w:cstheme="minorHAnsi"/>
          <w:color w:val="000000" w:themeColor="text1"/>
        </w:rPr>
        <w:t xml:space="preserve">Please feel free to send any additional evidence or information that might support our inquiry but has not been covered in our research questions (please do this by attaching a separate document to your email in either Microsoft Word or PDF format). </w:t>
      </w:r>
      <w:r w:rsidRPr="003E2E3E">
        <w:rPr>
          <w:rFonts w:ascii="Atkinson Hyperlegible Next" w:eastAsiaTheme="minorEastAsia" w:hAnsi="Atkinson Hyperlegible Next" w:cstheme="minorHAnsi"/>
          <w:b/>
          <w:bCs/>
          <w:color w:val="000000" w:themeColor="text1"/>
        </w:rPr>
        <w:t xml:space="preserve">We particularly welcome papers, datasets, evaluation reports, case studies demonstrating effective practices or highlighting persistent challenges. We also welcome opinions on specific policy interventions that will benefit the improvement of accessing primary care services </w:t>
      </w:r>
    </w:p>
    <w:p w14:paraId="2B4864D4" w14:textId="186F372B" w:rsidR="005A524A" w:rsidRPr="003E2E3E" w:rsidRDefault="005A524A" w:rsidP="058E47AF">
      <w:pPr>
        <w:autoSpaceDE w:val="0"/>
        <w:autoSpaceDN w:val="0"/>
        <w:adjustRightInd w:val="0"/>
        <w:rPr>
          <w:rFonts w:ascii="Atkinson Hyperlegible Next" w:eastAsia="Atkinson Hyperlegible Next" w:hAnsi="Atkinson Hyperlegible Next" w:cs="Atkinson Hyperlegible Next"/>
        </w:rPr>
      </w:pPr>
      <w:r w:rsidRPr="058E47AF">
        <w:rPr>
          <w:rFonts w:ascii="Atkinson Hyperlegible Next" w:hAnsi="Atkinson Hyperlegible Next"/>
        </w:rPr>
        <w:t>The deadline for submission of evidence is 11</w:t>
      </w:r>
      <w:r w:rsidR="7E49F34D" w:rsidRPr="058E47AF">
        <w:rPr>
          <w:rFonts w:ascii="Atkinson Hyperlegible Next" w:hAnsi="Atkinson Hyperlegible Next"/>
        </w:rPr>
        <w:t>:</w:t>
      </w:r>
      <w:r w:rsidRPr="058E47AF">
        <w:rPr>
          <w:rFonts w:ascii="Atkinson Hyperlegible Next" w:hAnsi="Atkinson Hyperlegible Next"/>
        </w:rPr>
        <w:t xml:space="preserve">59PM on </w:t>
      </w:r>
      <w:r w:rsidR="002C6863">
        <w:rPr>
          <w:rFonts w:ascii="Atkinson Hyperlegible Next" w:eastAsiaTheme="minorEastAsia" w:hAnsi="Atkinson Hyperlegible Next"/>
          <w:color w:val="EE0000"/>
        </w:rPr>
        <w:t>2</w:t>
      </w:r>
      <w:r w:rsidR="00E71753">
        <w:rPr>
          <w:rFonts w:ascii="Atkinson Hyperlegible Next" w:eastAsiaTheme="minorEastAsia" w:hAnsi="Atkinson Hyperlegible Next"/>
          <w:color w:val="EE0000"/>
        </w:rPr>
        <w:t>7</w:t>
      </w:r>
      <w:r w:rsidR="002C6863">
        <w:rPr>
          <w:rFonts w:ascii="Atkinson Hyperlegible Next" w:eastAsiaTheme="minorEastAsia" w:hAnsi="Atkinson Hyperlegible Next"/>
          <w:color w:val="EE0000"/>
        </w:rPr>
        <w:t xml:space="preserve"> February 2026</w:t>
      </w:r>
      <w:r w:rsidRPr="058E47AF">
        <w:rPr>
          <w:rFonts w:ascii="Atkinson Hyperlegible Next" w:eastAsiaTheme="minorEastAsia" w:hAnsi="Atkinson Hyperlegible Next"/>
          <w:color w:val="EE0000"/>
        </w:rPr>
        <w:t>.</w:t>
      </w:r>
      <w:r w:rsidRPr="058E47AF">
        <w:rPr>
          <w:rFonts w:ascii="Atkinson Hyperlegible Next" w:hAnsi="Atkinson Hyperlegible Next"/>
        </w:rPr>
        <w:t xml:space="preserve"> Evidence should be submitted to: </w:t>
      </w:r>
      <w:hyperlink r:id="rId12">
        <w:r w:rsidR="588DECBD" w:rsidRPr="058E47AF">
          <w:rPr>
            <w:rStyle w:val="Hyperlink"/>
            <w:rFonts w:ascii="Aptos" w:eastAsia="Aptos" w:hAnsi="Aptos" w:cs="Aptos"/>
            <w:color w:val="0000FF"/>
            <w:sz w:val="24"/>
            <w:szCs w:val="24"/>
          </w:rPr>
          <w:t>PC.Health@policyconnect.org.uk</w:t>
        </w:r>
      </w:hyperlink>
    </w:p>
    <w:p w14:paraId="56AFCC0F" w14:textId="4383CF34" w:rsidR="00F96614" w:rsidRPr="003E2E3E" w:rsidRDefault="00F96614" w:rsidP="058E47AF">
      <w:pPr>
        <w:pStyle w:val="Heading1"/>
        <w:pBdr>
          <w:bottom w:val="single" w:sz="6" w:space="1" w:color="auto"/>
        </w:pBdr>
        <w:spacing w:before="0" w:line="240" w:lineRule="auto"/>
        <w:rPr>
          <w:rFonts w:ascii="Atkinson Hyperlegible Next" w:hAnsi="Atkinson Hyperlegible Next"/>
          <w:color w:val="993366"/>
          <w:sz w:val="36"/>
          <w:szCs w:val="36"/>
        </w:rPr>
      </w:pPr>
      <w:r w:rsidRPr="058E47AF">
        <w:rPr>
          <w:rFonts w:ascii="Atkinson Hyperlegible Next" w:hAnsi="Atkinson Hyperlegible Next"/>
          <w:color w:val="993366"/>
          <w:sz w:val="36"/>
          <w:szCs w:val="36"/>
        </w:rPr>
        <w:t>Case study templates</w:t>
      </w:r>
    </w:p>
    <w:p w14:paraId="0E6E879F" w14:textId="69005B35" w:rsidR="00904F26" w:rsidRPr="003E2E3E" w:rsidRDefault="00904F26" w:rsidP="00904F26">
      <w:pPr>
        <w:rPr>
          <w:rFonts w:ascii="Atkinson Hyperlegible Next" w:eastAsiaTheme="minorEastAsia" w:hAnsi="Atkinson Hyperlegible Next"/>
        </w:rPr>
      </w:pPr>
      <w:r w:rsidRPr="003E2E3E">
        <w:rPr>
          <w:rFonts w:ascii="Atkinson Hyperlegible Next" w:eastAsiaTheme="minorEastAsia" w:hAnsi="Atkinson Hyperlegible Next"/>
        </w:rPr>
        <w:t>If you are providing an example of an initiative, please use the case study template below to structure your response. This may include implemented initiatives with measurable outcomes or proposed/planned initiatives with anticipated benefits and evidence base for expected impact. You may also attach supporting evidence such as reports, datasets, or evaluations.</w:t>
      </w:r>
    </w:p>
    <w:p w14:paraId="41558F8A" w14:textId="77777777" w:rsidR="00904F26" w:rsidRPr="003E2E3E" w:rsidRDefault="00904F26" w:rsidP="00904F26">
      <w:pPr>
        <w:rPr>
          <w:rFonts w:ascii="Atkinson Hyperlegible Next" w:eastAsiaTheme="minorEastAsia" w:hAnsi="Atkinson Hyperlegible Next"/>
        </w:rPr>
      </w:pPr>
    </w:p>
    <w:p w14:paraId="0A70847E" w14:textId="71EC6B6A" w:rsidR="00904F26" w:rsidRPr="003E2E3E" w:rsidRDefault="00904F26" w:rsidP="7F032D55">
      <w:pPr>
        <w:pStyle w:val="ListParagraph"/>
        <w:numPr>
          <w:ilvl w:val="0"/>
          <w:numId w:val="20"/>
        </w:numPr>
        <w:pBdr>
          <w:top w:val="nil"/>
          <w:left w:val="nil"/>
          <w:bottom w:val="nil"/>
          <w:right w:val="nil"/>
          <w:between w:val="nil"/>
          <w:bar w:val="nil"/>
        </w:pBdr>
        <w:spacing w:after="0" w:line="240" w:lineRule="auto"/>
        <w:rPr>
          <w:rFonts w:ascii="Atkinson Hyperlegible Next" w:eastAsiaTheme="minorEastAsia" w:hAnsi="Atkinson Hyperlegible Next"/>
        </w:rPr>
      </w:pPr>
      <w:r w:rsidRPr="7F032D55">
        <w:rPr>
          <w:rFonts w:ascii="Atkinson Hyperlegible Next" w:eastAsiaTheme="minorEastAsia" w:hAnsi="Atkinson Hyperlegible Next"/>
          <w:b/>
          <w:bCs/>
        </w:rPr>
        <w:t>Title &amp; context:</w:t>
      </w:r>
      <w:r w:rsidRPr="7F032D55">
        <w:rPr>
          <w:rFonts w:ascii="Atkinson Hyperlegible Next" w:eastAsiaTheme="minorEastAsia" w:hAnsi="Atkinson Hyperlegible Next"/>
        </w:rPr>
        <w:t xml:space="preserve"> Setting/region; profession(s); </w:t>
      </w:r>
      <w:r w:rsidR="005A524A" w:rsidRPr="7F032D55">
        <w:rPr>
          <w:rFonts w:ascii="Atkinson Hyperlegible Next" w:eastAsiaTheme="minorEastAsia" w:hAnsi="Atkinson Hyperlegible Next"/>
        </w:rPr>
        <w:t>sector(s</w:t>
      </w:r>
      <w:r w:rsidRPr="7F032D55">
        <w:rPr>
          <w:rFonts w:ascii="Atkinson Hyperlegible Next" w:eastAsiaTheme="minorEastAsia" w:hAnsi="Atkinson Hyperlegible Next"/>
        </w:rPr>
        <w:t>); population group(s)</w:t>
      </w:r>
    </w:p>
    <w:p w14:paraId="199783B5" w14:textId="77777777" w:rsidR="00904F26" w:rsidRPr="003E2E3E" w:rsidRDefault="00904F26" w:rsidP="00904F26">
      <w:pPr>
        <w:pStyle w:val="ListParagraph"/>
        <w:numPr>
          <w:ilvl w:val="0"/>
          <w:numId w:val="20"/>
        </w:numPr>
        <w:pBdr>
          <w:top w:val="nil"/>
          <w:left w:val="nil"/>
          <w:bottom w:val="nil"/>
          <w:right w:val="nil"/>
          <w:between w:val="nil"/>
          <w:bar w:val="nil"/>
        </w:pBdr>
        <w:spacing w:after="0" w:line="240" w:lineRule="auto"/>
        <w:rPr>
          <w:rFonts w:ascii="Atkinson Hyperlegible Next" w:eastAsiaTheme="minorEastAsia" w:hAnsi="Atkinson Hyperlegible Next"/>
        </w:rPr>
      </w:pPr>
      <w:r w:rsidRPr="003E2E3E">
        <w:rPr>
          <w:rFonts w:ascii="Atkinson Hyperlegible Next" w:eastAsiaTheme="minorEastAsia" w:hAnsi="Atkinson Hyperlegible Next"/>
          <w:b/>
          <w:bCs/>
        </w:rPr>
        <w:t>Problem &amp; baseline:</w:t>
      </w:r>
      <w:r w:rsidRPr="003E2E3E">
        <w:rPr>
          <w:rFonts w:ascii="Atkinson Hyperlegible Next" w:eastAsiaTheme="minorEastAsia" w:hAnsi="Atkinson Hyperlegible Next"/>
        </w:rPr>
        <w:t xml:space="preserve"> Barrier(s), challenges and starting metrics </w:t>
      </w:r>
    </w:p>
    <w:p w14:paraId="64A4777D" w14:textId="77777777" w:rsidR="00904F26" w:rsidRPr="003E2E3E" w:rsidRDefault="00904F26" w:rsidP="00904F26">
      <w:pPr>
        <w:pStyle w:val="ListParagraph"/>
        <w:numPr>
          <w:ilvl w:val="0"/>
          <w:numId w:val="20"/>
        </w:numPr>
        <w:pBdr>
          <w:top w:val="nil"/>
          <w:left w:val="nil"/>
          <w:bottom w:val="nil"/>
          <w:right w:val="nil"/>
          <w:between w:val="nil"/>
          <w:bar w:val="nil"/>
        </w:pBdr>
        <w:spacing w:after="0" w:line="240" w:lineRule="auto"/>
        <w:rPr>
          <w:rFonts w:ascii="Atkinson Hyperlegible Next" w:eastAsiaTheme="minorEastAsia" w:hAnsi="Atkinson Hyperlegible Next"/>
        </w:rPr>
      </w:pPr>
      <w:r w:rsidRPr="003E2E3E">
        <w:rPr>
          <w:rFonts w:ascii="Atkinson Hyperlegible Next" w:eastAsiaTheme="minorEastAsia" w:hAnsi="Atkinson Hyperlegible Next"/>
          <w:b/>
          <w:bCs/>
        </w:rPr>
        <w:t>Intervention/programme/initiative:</w:t>
      </w:r>
      <w:r w:rsidRPr="003E2E3E">
        <w:rPr>
          <w:rFonts w:ascii="Atkinson Hyperlegible Next" w:eastAsiaTheme="minorEastAsia" w:hAnsi="Atkinson Hyperlegible Next"/>
        </w:rPr>
        <w:t xml:space="preserve"> What changed; delivery partners; cost/resources; timeline; regulatory/funding context</w:t>
      </w:r>
    </w:p>
    <w:p w14:paraId="1488F438" w14:textId="77777777" w:rsidR="00904F26" w:rsidRPr="003E2E3E" w:rsidRDefault="00904F26" w:rsidP="00904F26">
      <w:pPr>
        <w:pStyle w:val="ListParagraph"/>
        <w:numPr>
          <w:ilvl w:val="0"/>
          <w:numId w:val="20"/>
        </w:numPr>
        <w:pBdr>
          <w:top w:val="nil"/>
          <w:left w:val="nil"/>
          <w:bottom w:val="nil"/>
          <w:right w:val="nil"/>
          <w:between w:val="nil"/>
          <w:bar w:val="nil"/>
        </w:pBdr>
        <w:spacing w:after="0" w:line="240" w:lineRule="auto"/>
        <w:rPr>
          <w:rFonts w:ascii="Atkinson Hyperlegible Next" w:eastAsiaTheme="minorEastAsia" w:hAnsi="Atkinson Hyperlegible Next"/>
        </w:rPr>
      </w:pPr>
      <w:r w:rsidRPr="003E2E3E">
        <w:rPr>
          <w:rFonts w:ascii="Atkinson Hyperlegible Next" w:eastAsiaTheme="minorEastAsia" w:hAnsi="Atkinson Hyperlegible Next"/>
          <w:b/>
          <w:bCs/>
        </w:rPr>
        <w:t>Outcomes:</w:t>
      </w:r>
      <w:r w:rsidRPr="003E2E3E">
        <w:rPr>
          <w:rFonts w:ascii="Atkinson Hyperlegible Next" w:eastAsiaTheme="minorEastAsia" w:hAnsi="Atkinson Hyperlegible Next"/>
        </w:rPr>
        <w:t xml:space="preserve"> Quantitative results (before/after); qualitative feedback (learners/educators/managers); external validation if any</w:t>
      </w:r>
    </w:p>
    <w:p w14:paraId="650DBAD8" w14:textId="77777777" w:rsidR="00904F26" w:rsidRPr="003E2E3E" w:rsidRDefault="00904F26" w:rsidP="00904F26">
      <w:pPr>
        <w:pStyle w:val="ListParagraph"/>
        <w:numPr>
          <w:ilvl w:val="0"/>
          <w:numId w:val="20"/>
        </w:numPr>
        <w:pBdr>
          <w:top w:val="nil"/>
          <w:left w:val="nil"/>
          <w:bottom w:val="nil"/>
          <w:right w:val="nil"/>
          <w:between w:val="nil"/>
          <w:bar w:val="nil"/>
        </w:pBdr>
        <w:spacing w:after="0" w:line="240" w:lineRule="auto"/>
        <w:rPr>
          <w:rFonts w:ascii="Atkinson Hyperlegible Next" w:eastAsiaTheme="minorEastAsia" w:hAnsi="Atkinson Hyperlegible Next"/>
        </w:rPr>
      </w:pPr>
      <w:r w:rsidRPr="003E2E3E">
        <w:rPr>
          <w:rFonts w:ascii="Atkinson Hyperlegible Next" w:eastAsiaTheme="minorEastAsia" w:hAnsi="Atkinson Hyperlegible Next"/>
          <w:b/>
          <w:bCs/>
        </w:rPr>
        <w:t>Enablers &amp; risks:</w:t>
      </w:r>
      <w:r w:rsidRPr="003E2E3E">
        <w:rPr>
          <w:rFonts w:ascii="Atkinson Hyperlegible Next" w:eastAsiaTheme="minorEastAsia" w:hAnsi="Atkinson Hyperlegible Next"/>
        </w:rPr>
        <w:t xml:space="preserve"> What made it work; risks/unintended effects; mitigations</w:t>
      </w:r>
    </w:p>
    <w:p w14:paraId="5AC5DAA4" w14:textId="2D0FE6C8" w:rsidR="00904F26" w:rsidRPr="003E2E3E" w:rsidRDefault="00904F26" w:rsidP="00904F26">
      <w:pPr>
        <w:pStyle w:val="ListParagraph"/>
        <w:numPr>
          <w:ilvl w:val="0"/>
          <w:numId w:val="20"/>
        </w:numPr>
        <w:pBdr>
          <w:top w:val="nil"/>
          <w:left w:val="nil"/>
          <w:bottom w:val="nil"/>
          <w:right w:val="nil"/>
          <w:between w:val="nil"/>
          <w:bar w:val="nil"/>
        </w:pBdr>
        <w:spacing w:after="0" w:line="240" w:lineRule="auto"/>
        <w:rPr>
          <w:rFonts w:ascii="Atkinson Hyperlegible Next" w:eastAsiaTheme="minorEastAsia" w:hAnsi="Atkinson Hyperlegible Next"/>
        </w:rPr>
      </w:pPr>
      <w:r w:rsidRPr="003E2E3E">
        <w:rPr>
          <w:rFonts w:ascii="Atkinson Hyperlegible Next" w:eastAsiaTheme="minorEastAsia" w:hAnsi="Atkinson Hyperlegible Next"/>
          <w:b/>
          <w:bCs/>
        </w:rPr>
        <w:t>Scalability &amp; transferability:</w:t>
      </w:r>
      <w:r w:rsidRPr="003E2E3E">
        <w:rPr>
          <w:rFonts w:ascii="Atkinson Hyperlegible Next" w:eastAsiaTheme="minorEastAsia" w:hAnsi="Atkinson Hyperlegible Next"/>
        </w:rPr>
        <w:t xml:space="preserve"> What's needed to scale or replicate elsewhere (people, funding, approvals, data</w:t>
      </w:r>
      <w:r w:rsidR="00F96614" w:rsidRPr="003E2E3E">
        <w:rPr>
          <w:rFonts w:ascii="Atkinson Hyperlegible Next" w:eastAsiaTheme="minorEastAsia" w:hAnsi="Atkinson Hyperlegible Next"/>
        </w:rPr>
        <w:t>, policy changes)</w:t>
      </w:r>
    </w:p>
    <w:p w14:paraId="4E8E8881" w14:textId="2DE07837" w:rsidR="00904F26" w:rsidRPr="003E2E3E" w:rsidRDefault="00904F26" w:rsidP="7F032D55">
      <w:pPr>
        <w:pStyle w:val="ListParagraph"/>
        <w:numPr>
          <w:ilvl w:val="0"/>
          <w:numId w:val="20"/>
        </w:numPr>
        <w:pBdr>
          <w:top w:val="nil"/>
          <w:left w:val="nil"/>
          <w:bottom w:val="nil"/>
          <w:right w:val="nil"/>
          <w:between w:val="nil"/>
          <w:bar w:val="nil"/>
        </w:pBdr>
        <w:spacing w:after="0" w:line="240" w:lineRule="auto"/>
        <w:rPr>
          <w:rFonts w:ascii="Atkinson Hyperlegible Next" w:eastAsiaTheme="minorEastAsia" w:hAnsi="Atkinson Hyperlegible Next"/>
        </w:rPr>
      </w:pPr>
      <w:r w:rsidRPr="7F032D55">
        <w:rPr>
          <w:rFonts w:ascii="Atkinson Hyperlegible Next" w:eastAsiaTheme="minorEastAsia" w:hAnsi="Atkinson Hyperlegible Next"/>
          <w:b/>
          <w:bCs/>
        </w:rPr>
        <w:t>Contacts &amp; evidence:</w:t>
      </w:r>
      <w:r w:rsidRPr="7F032D55">
        <w:rPr>
          <w:rFonts w:ascii="Atkinson Hyperlegible Next" w:eastAsiaTheme="minorEastAsia" w:hAnsi="Atkinson Hyperlegible Next"/>
        </w:rPr>
        <w:t xml:space="preserve"> Named contact; data sources; links to documents</w:t>
      </w:r>
    </w:p>
    <w:p w14:paraId="59C814F1" w14:textId="77777777" w:rsidR="00BD4B92" w:rsidRPr="003E2E3E" w:rsidRDefault="00BD4B92" w:rsidP="00BD4B92">
      <w:pPr>
        <w:pStyle w:val="ListParagraph"/>
        <w:pBdr>
          <w:top w:val="nil"/>
          <w:left w:val="nil"/>
          <w:bottom w:val="nil"/>
          <w:right w:val="nil"/>
          <w:between w:val="nil"/>
          <w:bar w:val="nil"/>
        </w:pBdr>
        <w:spacing w:after="0" w:line="240" w:lineRule="auto"/>
        <w:rPr>
          <w:rFonts w:ascii="Atkinson Hyperlegible Next" w:eastAsiaTheme="minorEastAsia" w:hAnsi="Atkinson Hyperlegible Next"/>
        </w:rPr>
      </w:pPr>
    </w:p>
    <w:p w14:paraId="4D17A7A3" w14:textId="2E616E2E" w:rsidR="00904F26" w:rsidRPr="003E2E3E" w:rsidRDefault="00904F26" w:rsidP="00904F26">
      <w:pPr>
        <w:rPr>
          <w:rFonts w:ascii="Atkinson Hyperlegible Next" w:eastAsiaTheme="minorEastAsia" w:hAnsi="Atkinson Hyperlegible Next"/>
        </w:rPr>
      </w:pPr>
      <w:r w:rsidRPr="003E2E3E">
        <w:rPr>
          <w:rFonts w:ascii="Atkinson Hyperlegible Next" w:eastAsiaTheme="minorEastAsia" w:hAnsi="Atkinson Hyperlegible Next"/>
        </w:rPr>
        <w:lastRenderedPageBreak/>
        <w:t xml:space="preserve">For more information about </w:t>
      </w:r>
      <w:r w:rsidR="00F96614" w:rsidRPr="003E2E3E">
        <w:rPr>
          <w:rFonts w:ascii="Atkinson Hyperlegible Next" w:eastAsiaTheme="minorEastAsia" w:hAnsi="Atkinson Hyperlegible Next"/>
        </w:rPr>
        <w:t xml:space="preserve">Policy Connect, the APPG for Health or </w:t>
      </w:r>
      <w:r w:rsidRPr="003E2E3E">
        <w:rPr>
          <w:rFonts w:ascii="Atkinson Hyperlegible Next" w:eastAsiaTheme="minorEastAsia" w:hAnsi="Atkinson Hyperlegible Next"/>
        </w:rPr>
        <w:t>this inquiry, please visit our website or contact the research lead</w:t>
      </w:r>
      <w:r w:rsidR="00F96614" w:rsidRPr="003E2E3E">
        <w:rPr>
          <w:rFonts w:ascii="Atkinson Hyperlegible Next" w:eastAsiaTheme="minorEastAsia" w:hAnsi="Atkinson Hyperlegible Next"/>
        </w:rPr>
        <w:t xml:space="preserve"> </w:t>
      </w:r>
      <w:hyperlink r:id="rId13" w:history="1">
        <w:r w:rsidR="00F96614" w:rsidRPr="003E2E3E">
          <w:rPr>
            <w:rStyle w:val="Hyperlink"/>
            <w:rFonts w:ascii="Atkinson Hyperlegible Next" w:eastAsiaTheme="minorEastAsia" w:hAnsi="Atkinson Hyperlegible Next"/>
          </w:rPr>
          <w:t>jasmin.adebisi@policyconnect.org.uk</w:t>
        </w:r>
      </w:hyperlink>
      <w:r w:rsidR="00F96614" w:rsidRPr="003E2E3E">
        <w:rPr>
          <w:rFonts w:ascii="Atkinson Hyperlegible Next" w:eastAsiaTheme="minorEastAsia" w:hAnsi="Atkinson Hyperlegible Next"/>
        </w:rPr>
        <w:t xml:space="preserve"> </w:t>
      </w:r>
    </w:p>
    <w:p w14:paraId="1CE210E8" w14:textId="735B1AEA" w:rsidR="007130C6" w:rsidRPr="003E2E3E" w:rsidRDefault="007130C6" w:rsidP="007130C6">
      <w:pPr>
        <w:rPr>
          <w:rFonts w:ascii="Atkinson Hyperlegible Next" w:hAnsi="Atkinson Hyperlegible Next"/>
        </w:rPr>
      </w:pPr>
    </w:p>
    <w:p w14:paraId="73BB3D22" w14:textId="77777777" w:rsidR="00F96614" w:rsidRPr="003E2E3E" w:rsidRDefault="00F96614" w:rsidP="00F96614">
      <w:pPr>
        <w:keepNext/>
        <w:keepLines/>
        <w:pBdr>
          <w:bottom w:val="single" w:sz="6" w:space="1" w:color="auto"/>
        </w:pBdr>
        <w:spacing w:after="0" w:line="240" w:lineRule="auto"/>
        <w:outlineLvl w:val="0"/>
        <w:rPr>
          <w:rFonts w:ascii="Atkinson Hyperlegible Next" w:eastAsia="Calibri" w:hAnsi="Atkinson Hyperlegible Next" w:cstheme="majorBidi"/>
          <w:bCs/>
          <w:color w:val="993366"/>
          <w:sz w:val="36"/>
          <w:szCs w:val="28"/>
        </w:rPr>
      </w:pPr>
      <w:r w:rsidRPr="003E2E3E">
        <w:rPr>
          <w:rFonts w:ascii="Atkinson Hyperlegible Next" w:eastAsia="Calibri" w:hAnsi="Atkinson Hyperlegible Next" w:cstheme="majorBidi"/>
          <w:bCs/>
          <w:color w:val="993366"/>
          <w:sz w:val="36"/>
          <w:szCs w:val="28"/>
        </w:rPr>
        <w:t>Research Questions</w:t>
      </w:r>
    </w:p>
    <w:p w14:paraId="43910687" w14:textId="77777777" w:rsidR="00904F26" w:rsidRPr="003E2E3E" w:rsidRDefault="00904F26" w:rsidP="007130C6">
      <w:pPr>
        <w:rPr>
          <w:rFonts w:ascii="Atkinson Hyperlegible Next" w:hAnsi="Atkinson Hyperlegible Next"/>
        </w:rPr>
      </w:pPr>
    </w:p>
    <w:p w14:paraId="43AE6F1E" w14:textId="413C25F6" w:rsidR="007130C6" w:rsidRPr="003E2E3E" w:rsidRDefault="00A56815" w:rsidP="0877C90C">
      <w:pPr>
        <w:rPr>
          <w:rFonts w:ascii="Atkinson Hyperlegible Next" w:eastAsiaTheme="minorEastAsia" w:hAnsi="Atkinson Hyperlegible Next"/>
          <w:b/>
          <w:bCs/>
          <w:color w:val="660033"/>
        </w:rPr>
      </w:pPr>
      <w:r w:rsidRPr="003E2E3E">
        <w:rPr>
          <w:rFonts w:ascii="Atkinson Hyperlegible Next" w:eastAsiaTheme="minorEastAsia" w:hAnsi="Atkinson Hyperlegible Next"/>
          <w:b/>
          <w:bCs/>
          <w:color w:val="660033"/>
        </w:rPr>
        <w:t xml:space="preserve">Theme </w:t>
      </w:r>
      <w:r w:rsidR="007130C6" w:rsidRPr="003E2E3E">
        <w:rPr>
          <w:rFonts w:ascii="Atkinson Hyperlegible Next" w:eastAsiaTheme="minorEastAsia" w:hAnsi="Atkinson Hyperlegible Next"/>
          <w:b/>
          <w:bCs/>
          <w:color w:val="660033"/>
        </w:rPr>
        <w:t>1. Reducing Health Inequalities and Access Barriers</w:t>
      </w:r>
    </w:p>
    <w:p w14:paraId="215387D7" w14:textId="2B7AD5F5" w:rsidR="004D6AB1" w:rsidRDefault="007130C6" w:rsidP="7F032D55">
      <w:pPr>
        <w:pStyle w:val="ListParagraph"/>
        <w:numPr>
          <w:ilvl w:val="0"/>
          <w:numId w:val="3"/>
        </w:numPr>
        <w:jc w:val="both"/>
        <w:rPr>
          <w:rFonts w:ascii="Atkinson Hyperlegible Next" w:eastAsiaTheme="minorEastAsia" w:hAnsi="Atkinson Hyperlegible Next"/>
        </w:rPr>
      </w:pPr>
      <w:r w:rsidRPr="7F032D55">
        <w:rPr>
          <w:rFonts w:ascii="Atkinson Hyperlegible Next" w:eastAsiaTheme="minorEastAsia" w:hAnsi="Atkinson Hyperlegible Next"/>
        </w:rPr>
        <w:t>What patient-centred indicators (experience, continuity, clinical outcomes</w:t>
      </w:r>
      <w:r w:rsidR="001F778F" w:rsidRPr="7F032D55">
        <w:rPr>
          <w:rFonts w:ascii="Atkinson Hyperlegible Next" w:eastAsiaTheme="minorEastAsia" w:hAnsi="Atkinson Hyperlegible Next"/>
        </w:rPr>
        <w:t xml:space="preserve"> etc</w:t>
      </w:r>
      <w:r w:rsidR="00D11BE3">
        <w:rPr>
          <w:rFonts w:ascii="Atkinson Hyperlegible Next" w:eastAsiaTheme="minorEastAsia" w:hAnsi="Atkinson Hyperlegible Next"/>
        </w:rPr>
        <w:t>.</w:t>
      </w:r>
      <w:r w:rsidRPr="7F032D55">
        <w:rPr>
          <w:rFonts w:ascii="Atkinson Hyperlegible Next" w:eastAsiaTheme="minorEastAsia" w:hAnsi="Atkinson Hyperlegible Next"/>
        </w:rPr>
        <w:t>) should define “good access” across</w:t>
      </w:r>
      <w:r w:rsidR="004D6AB1">
        <w:rPr>
          <w:rFonts w:ascii="Atkinson Hyperlegible Next" w:eastAsiaTheme="minorEastAsia" w:hAnsi="Atkinson Hyperlegible Next"/>
        </w:rPr>
        <w:t>:</w:t>
      </w:r>
    </w:p>
    <w:p w14:paraId="063B3256" w14:textId="64E580A9" w:rsidR="004D6AB1" w:rsidRDefault="004D6AB1" w:rsidP="004D6AB1">
      <w:pPr>
        <w:pStyle w:val="ListParagraph"/>
        <w:numPr>
          <w:ilvl w:val="0"/>
          <w:numId w:val="25"/>
        </w:numPr>
        <w:jc w:val="both"/>
        <w:rPr>
          <w:rFonts w:ascii="Atkinson Hyperlegible Next" w:eastAsiaTheme="minorEastAsia" w:hAnsi="Atkinson Hyperlegible Next"/>
        </w:rPr>
      </w:pPr>
      <w:r>
        <w:rPr>
          <w:rFonts w:ascii="Atkinson Hyperlegible Next" w:eastAsiaTheme="minorEastAsia" w:hAnsi="Atkinson Hyperlegible Next"/>
        </w:rPr>
        <w:t>G</w:t>
      </w:r>
      <w:r w:rsidR="007130C6" w:rsidRPr="7F032D55">
        <w:rPr>
          <w:rFonts w:ascii="Atkinson Hyperlegible Next" w:eastAsiaTheme="minorEastAsia" w:hAnsi="Atkinson Hyperlegible Next"/>
        </w:rPr>
        <w:t xml:space="preserve">eneral </w:t>
      </w:r>
      <w:r>
        <w:rPr>
          <w:rFonts w:ascii="Atkinson Hyperlegible Next" w:eastAsiaTheme="minorEastAsia" w:hAnsi="Atkinson Hyperlegible Next"/>
        </w:rPr>
        <w:t>P</w:t>
      </w:r>
      <w:r w:rsidR="007130C6" w:rsidRPr="7F032D55">
        <w:rPr>
          <w:rFonts w:ascii="Atkinson Hyperlegible Next" w:eastAsiaTheme="minorEastAsia" w:hAnsi="Atkinson Hyperlegible Next"/>
        </w:rPr>
        <w:t>ractice</w:t>
      </w:r>
      <w:r w:rsidR="00D11BE3">
        <w:rPr>
          <w:rFonts w:ascii="Atkinson Hyperlegible Next" w:eastAsiaTheme="minorEastAsia" w:hAnsi="Atkinson Hyperlegible Next"/>
        </w:rPr>
        <w:t>,</w:t>
      </w:r>
      <w:r w:rsidR="007130C6" w:rsidRPr="7F032D55">
        <w:rPr>
          <w:rFonts w:ascii="Atkinson Hyperlegible Next" w:eastAsiaTheme="minorEastAsia" w:hAnsi="Atkinson Hyperlegible Next"/>
        </w:rPr>
        <w:t xml:space="preserve"> </w:t>
      </w:r>
    </w:p>
    <w:p w14:paraId="62EF670C" w14:textId="58836F6A" w:rsidR="004D6AB1" w:rsidRDefault="004D6AB1" w:rsidP="004D6AB1">
      <w:pPr>
        <w:pStyle w:val="ListParagraph"/>
        <w:numPr>
          <w:ilvl w:val="0"/>
          <w:numId w:val="25"/>
        </w:numPr>
        <w:jc w:val="both"/>
        <w:rPr>
          <w:rFonts w:ascii="Atkinson Hyperlegible Next" w:eastAsiaTheme="minorEastAsia" w:hAnsi="Atkinson Hyperlegible Next"/>
        </w:rPr>
      </w:pPr>
      <w:r>
        <w:rPr>
          <w:rFonts w:ascii="Atkinson Hyperlegible Next" w:eastAsiaTheme="minorEastAsia" w:hAnsi="Atkinson Hyperlegible Next"/>
        </w:rPr>
        <w:t>C</w:t>
      </w:r>
      <w:r w:rsidR="007130C6" w:rsidRPr="7F032D55">
        <w:rPr>
          <w:rFonts w:ascii="Atkinson Hyperlegible Next" w:eastAsiaTheme="minorEastAsia" w:hAnsi="Atkinson Hyperlegible Next"/>
        </w:rPr>
        <w:t xml:space="preserve">ommunity </w:t>
      </w:r>
      <w:r>
        <w:rPr>
          <w:rFonts w:ascii="Atkinson Hyperlegible Next" w:eastAsiaTheme="minorEastAsia" w:hAnsi="Atkinson Hyperlegible Next"/>
        </w:rPr>
        <w:t>P</w:t>
      </w:r>
      <w:r w:rsidR="007130C6" w:rsidRPr="7F032D55">
        <w:rPr>
          <w:rFonts w:ascii="Atkinson Hyperlegible Next" w:eastAsiaTheme="minorEastAsia" w:hAnsi="Atkinson Hyperlegible Next"/>
        </w:rPr>
        <w:t>harmacy</w:t>
      </w:r>
      <w:r w:rsidR="00D11BE3">
        <w:rPr>
          <w:rFonts w:ascii="Atkinson Hyperlegible Next" w:eastAsiaTheme="minorEastAsia" w:hAnsi="Atkinson Hyperlegible Next"/>
        </w:rPr>
        <w:t>,</w:t>
      </w:r>
    </w:p>
    <w:p w14:paraId="59F5389B" w14:textId="5C0BC74C" w:rsidR="004D6AB1" w:rsidRDefault="004D6AB1" w:rsidP="004D6AB1">
      <w:pPr>
        <w:pStyle w:val="ListParagraph"/>
        <w:numPr>
          <w:ilvl w:val="0"/>
          <w:numId w:val="25"/>
        </w:numPr>
        <w:jc w:val="both"/>
        <w:rPr>
          <w:rFonts w:ascii="Atkinson Hyperlegible Next" w:eastAsiaTheme="minorEastAsia" w:hAnsi="Atkinson Hyperlegible Next"/>
        </w:rPr>
      </w:pPr>
      <w:r>
        <w:rPr>
          <w:rFonts w:ascii="Atkinson Hyperlegible Next" w:eastAsiaTheme="minorEastAsia" w:hAnsi="Atkinson Hyperlegible Next"/>
        </w:rPr>
        <w:t>D</w:t>
      </w:r>
      <w:r w:rsidR="007130C6" w:rsidRPr="7F032D55">
        <w:rPr>
          <w:rFonts w:ascii="Atkinson Hyperlegible Next" w:eastAsiaTheme="minorEastAsia" w:hAnsi="Atkinson Hyperlegible Next"/>
        </w:rPr>
        <w:t>entistry</w:t>
      </w:r>
      <w:r w:rsidR="00D11BE3">
        <w:rPr>
          <w:rFonts w:ascii="Atkinson Hyperlegible Next" w:eastAsiaTheme="minorEastAsia" w:hAnsi="Atkinson Hyperlegible Next"/>
        </w:rPr>
        <w:t>, and</w:t>
      </w:r>
      <w:r w:rsidR="007130C6" w:rsidRPr="7F032D55">
        <w:rPr>
          <w:rFonts w:ascii="Atkinson Hyperlegible Next" w:eastAsiaTheme="minorEastAsia" w:hAnsi="Atkinson Hyperlegible Next"/>
        </w:rPr>
        <w:t xml:space="preserve"> </w:t>
      </w:r>
    </w:p>
    <w:p w14:paraId="692BADF5" w14:textId="30E21621" w:rsidR="00D11BE3" w:rsidRPr="00054CF5" w:rsidRDefault="004D6AB1" w:rsidP="00054CF5">
      <w:pPr>
        <w:pStyle w:val="ListParagraph"/>
        <w:numPr>
          <w:ilvl w:val="0"/>
          <w:numId w:val="25"/>
        </w:numPr>
        <w:jc w:val="both"/>
        <w:rPr>
          <w:rFonts w:ascii="Atkinson Hyperlegible Next" w:eastAsiaTheme="minorEastAsia" w:hAnsi="Atkinson Hyperlegible Next"/>
        </w:rPr>
      </w:pPr>
      <w:r>
        <w:rPr>
          <w:rFonts w:ascii="Atkinson Hyperlegible Next" w:eastAsiaTheme="minorEastAsia" w:hAnsi="Atkinson Hyperlegible Next"/>
        </w:rPr>
        <w:t>O</w:t>
      </w:r>
      <w:r w:rsidR="007130C6" w:rsidRPr="7F032D55">
        <w:rPr>
          <w:rFonts w:ascii="Atkinson Hyperlegible Next" w:eastAsiaTheme="minorEastAsia" w:hAnsi="Atkinson Hyperlegible Next"/>
        </w:rPr>
        <w:t>ptometry</w:t>
      </w:r>
      <w:r w:rsidR="006330B9" w:rsidRPr="7F032D55">
        <w:rPr>
          <w:rFonts w:ascii="Atkinson Hyperlegible Next" w:eastAsiaTheme="minorEastAsia" w:hAnsi="Atkinson Hyperlegible Next"/>
        </w:rPr>
        <w:t>?</w:t>
      </w:r>
    </w:p>
    <w:p w14:paraId="03BC5961" w14:textId="77777777" w:rsidR="004D6AB1" w:rsidRPr="00374ABD" w:rsidRDefault="004D6AB1" w:rsidP="00374ABD">
      <w:pPr>
        <w:pStyle w:val="ListParagraph"/>
        <w:ind w:left="1080"/>
        <w:jc w:val="both"/>
        <w:rPr>
          <w:rFonts w:ascii="Atkinson Hyperlegible Next" w:eastAsiaTheme="minorEastAsia" w:hAnsi="Atkinson Hyperlegible Next"/>
        </w:rPr>
      </w:pPr>
    </w:p>
    <w:p w14:paraId="655E4403" w14:textId="77777777" w:rsidR="00A56815" w:rsidRPr="003E2E3E" w:rsidRDefault="007130C6" w:rsidP="0877C90C">
      <w:pPr>
        <w:pStyle w:val="ListParagraph"/>
        <w:numPr>
          <w:ilvl w:val="0"/>
          <w:numId w:val="3"/>
        </w:numPr>
        <w:jc w:val="both"/>
        <w:rPr>
          <w:rFonts w:ascii="Atkinson Hyperlegible Next" w:eastAsiaTheme="minorEastAsia" w:hAnsi="Atkinson Hyperlegible Next"/>
        </w:rPr>
      </w:pPr>
      <w:r w:rsidRPr="003E2E3E">
        <w:rPr>
          <w:rFonts w:ascii="Atkinson Hyperlegible Next" w:eastAsiaTheme="minorEastAsia" w:hAnsi="Atkinson Hyperlegible Next"/>
        </w:rPr>
        <w:t>What population groups remain under-represented or face significant barriers in accessing primary care services, why do these barriers occur and in which regions are they most prevalent? Please outline the contributing factors, together with any evidence of effective approaches that have improved access for these groups.</w:t>
      </w:r>
    </w:p>
    <w:p w14:paraId="6C641049" w14:textId="77777777" w:rsidR="00A56815" w:rsidRPr="003E2E3E" w:rsidRDefault="00A56815" w:rsidP="0877C90C">
      <w:pPr>
        <w:pStyle w:val="ListParagraph"/>
        <w:rPr>
          <w:rFonts w:ascii="Atkinson Hyperlegible Next" w:eastAsiaTheme="minorEastAsia" w:hAnsi="Atkinson Hyperlegible Next"/>
        </w:rPr>
      </w:pPr>
    </w:p>
    <w:p w14:paraId="7BC05A4A" w14:textId="77777777" w:rsidR="00A56815" w:rsidRPr="003E2E3E" w:rsidRDefault="007130C6" w:rsidP="0877C90C">
      <w:pPr>
        <w:pStyle w:val="ListParagraph"/>
        <w:numPr>
          <w:ilvl w:val="0"/>
          <w:numId w:val="3"/>
        </w:numPr>
        <w:jc w:val="both"/>
        <w:rPr>
          <w:rFonts w:ascii="Atkinson Hyperlegible Next" w:hAnsi="Atkinson Hyperlegible Next"/>
        </w:rPr>
      </w:pPr>
      <w:r w:rsidRPr="7F032D55">
        <w:rPr>
          <w:rFonts w:ascii="Atkinson Hyperlegible Next" w:eastAsiaTheme="minorEastAsia" w:hAnsi="Atkinson Hyperlegible Next"/>
        </w:rPr>
        <w:t>What single policy ch</w:t>
      </w:r>
      <w:r w:rsidRPr="7F032D55">
        <w:rPr>
          <w:rFonts w:ascii="Atkinson Hyperlegible Next" w:hAnsi="Atkinson Hyperlegible Next"/>
        </w:rPr>
        <w:t>ange would most immediately improve patients’ ability to be directed to the right primary care professional at their first point of contact, without the need for multiple appointments or repeated assessments and what evidence supports this?</w:t>
      </w:r>
    </w:p>
    <w:p w14:paraId="1D54CC4F" w14:textId="77777777" w:rsidR="00A56815" w:rsidRPr="003E2E3E" w:rsidRDefault="00A56815" w:rsidP="00A56815">
      <w:pPr>
        <w:pStyle w:val="ListParagraph"/>
        <w:rPr>
          <w:rFonts w:ascii="Atkinson Hyperlegible Next" w:hAnsi="Atkinson Hyperlegible Next" w:cstheme="minorHAnsi"/>
        </w:rPr>
      </w:pPr>
    </w:p>
    <w:p w14:paraId="3B651A5F" w14:textId="38380D12" w:rsidR="00A56815" w:rsidRPr="003E2E3E" w:rsidRDefault="00A56815" w:rsidP="00F96614">
      <w:pPr>
        <w:pStyle w:val="ListParagraph"/>
        <w:numPr>
          <w:ilvl w:val="0"/>
          <w:numId w:val="3"/>
        </w:numPr>
        <w:jc w:val="both"/>
        <w:rPr>
          <w:rFonts w:ascii="Atkinson Hyperlegible Next" w:hAnsi="Atkinson Hyperlegible Next" w:cstheme="minorHAnsi"/>
        </w:rPr>
      </w:pPr>
    </w:p>
    <w:p w14:paraId="3C7F693A" w14:textId="7E8527AA" w:rsidR="00A56815" w:rsidRPr="003E2E3E" w:rsidRDefault="007130C6" w:rsidP="007130C6">
      <w:pPr>
        <w:pStyle w:val="ListParagraph"/>
        <w:numPr>
          <w:ilvl w:val="0"/>
          <w:numId w:val="4"/>
        </w:numPr>
        <w:jc w:val="both"/>
        <w:rPr>
          <w:rFonts w:ascii="Atkinson Hyperlegible Next" w:hAnsi="Atkinson Hyperlegible Next" w:cstheme="minorHAnsi"/>
        </w:rPr>
      </w:pPr>
      <w:r w:rsidRPr="003E2E3E">
        <w:rPr>
          <w:rFonts w:ascii="Atkinson Hyperlegible Next" w:hAnsi="Atkinson Hyperlegible Next" w:cstheme="minorHAnsi"/>
        </w:rPr>
        <w:t>What practical steps are needed to ensure that digital booking, triage</w:t>
      </w:r>
      <w:r w:rsidR="00D11BE3">
        <w:rPr>
          <w:rFonts w:ascii="Atkinson Hyperlegible Next" w:hAnsi="Atkinson Hyperlegible Next" w:cstheme="minorHAnsi"/>
        </w:rPr>
        <w:t>,</w:t>
      </w:r>
      <w:r w:rsidRPr="003E2E3E">
        <w:rPr>
          <w:rFonts w:ascii="Atkinson Hyperlegible Next" w:hAnsi="Atkinson Hyperlegible Next" w:cstheme="minorHAnsi"/>
        </w:rPr>
        <w:t xml:space="preserve"> and record-access systems (including the NHS App) deliver equitable access across GP, pharmacy, dentistry, and optometry services</w:t>
      </w:r>
      <w:r w:rsidR="006330B9" w:rsidRPr="003E2E3E">
        <w:rPr>
          <w:rFonts w:ascii="Atkinson Hyperlegible Next" w:hAnsi="Atkinson Hyperlegible Next" w:cstheme="minorHAnsi"/>
        </w:rPr>
        <w:t xml:space="preserve"> </w:t>
      </w:r>
      <w:r w:rsidRPr="003E2E3E">
        <w:rPr>
          <w:rFonts w:ascii="Atkinson Hyperlegible Next" w:hAnsi="Atkinson Hyperlegible Next" w:cstheme="minorHAnsi"/>
        </w:rPr>
        <w:t>particularly for digitally excluded individuals, non-English speakers, older people</w:t>
      </w:r>
      <w:r w:rsidR="00D11BE3">
        <w:rPr>
          <w:rFonts w:ascii="Atkinson Hyperlegible Next" w:hAnsi="Atkinson Hyperlegible Next" w:cstheme="minorHAnsi"/>
        </w:rPr>
        <w:t>,</w:t>
      </w:r>
      <w:r w:rsidRPr="003E2E3E">
        <w:rPr>
          <w:rFonts w:ascii="Atkinson Hyperlegible Next" w:hAnsi="Atkinson Hyperlegible Next" w:cstheme="minorHAnsi"/>
        </w:rPr>
        <w:t xml:space="preserve"> and visually impaired patients? Please include any case studies of effective practice.</w:t>
      </w:r>
    </w:p>
    <w:p w14:paraId="5991230F" w14:textId="6C77B046" w:rsidR="00A56815" w:rsidRDefault="007130C6" w:rsidP="007130C6">
      <w:pPr>
        <w:pStyle w:val="ListParagraph"/>
        <w:numPr>
          <w:ilvl w:val="0"/>
          <w:numId w:val="4"/>
        </w:numPr>
        <w:jc w:val="both"/>
        <w:rPr>
          <w:rFonts w:ascii="Atkinson Hyperlegible Next" w:hAnsi="Atkinson Hyperlegible Next" w:cstheme="minorHAnsi"/>
        </w:rPr>
      </w:pPr>
      <w:r w:rsidRPr="003E2E3E">
        <w:rPr>
          <w:rFonts w:ascii="Atkinson Hyperlegible Next" w:hAnsi="Atkinson Hyperlegible Next" w:cstheme="minorHAnsi"/>
        </w:rPr>
        <w:t>What hybrid access models are required to ensure digital systems</w:t>
      </w:r>
      <w:r w:rsidR="001F778F" w:rsidRPr="003E2E3E">
        <w:rPr>
          <w:rFonts w:ascii="Atkinson Hyperlegible Next" w:hAnsi="Atkinson Hyperlegible Next" w:cstheme="minorHAnsi"/>
        </w:rPr>
        <w:t xml:space="preserve"> and the shift from analogue to digital do</w:t>
      </w:r>
      <w:r w:rsidRPr="003E2E3E">
        <w:rPr>
          <w:rFonts w:ascii="Atkinson Hyperlegible Next" w:hAnsi="Atkinson Hyperlegible Next" w:cstheme="minorHAnsi"/>
        </w:rPr>
        <w:t xml:space="preserve"> not contribute to a two-tier model of access?</w:t>
      </w:r>
    </w:p>
    <w:p w14:paraId="38600E79" w14:textId="77777777" w:rsidR="0040747F" w:rsidRPr="003E2E3E" w:rsidRDefault="0040747F" w:rsidP="00054CF5">
      <w:pPr>
        <w:pStyle w:val="ListParagraph"/>
        <w:ind w:left="1080"/>
        <w:jc w:val="both"/>
        <w:rPr>
          <w:rFonts w:ascii="Atkinson Hyperlegible Next" w:hAnsi="Atkinson Hyperlegible Next" w:cstheme="minorHAnsi"/>
        </w:rPr>
      </w:pPr>
    </w:p>
    <w:p w14:paraId="335E152D" w14:textId="7C914C91" w:rsidR="00A56815" w:rsidRPr="003E2E3E" w:rsidRDefault="0040747F" w:rsidP="007130C6">
      <w:pPr>
        <w:pStyle w:val="ListParagraph"/>
        <w:numPr>
          <w:ilvl w:val="0"/>
          <w:numId w:val="3"/>
        </w:numPr>
        <w:jc w:val="both"/>
        <w:rPr>
          <w:rFonts w:ascii="Atkinson Hyperlegible Next" w:hAnsi="Atkinson Hyperlegible Next" w:cstheme="minorHAnsi"/>
        </w:rPr>
      </w:pPr>
      <w:r w:rsidRPr="0040747F">
        <w:rPr>
          <w:rFonts w:ascii="Atkinson Hyperlegible Next" w:hAnsi="Atkinson Hyperlegible Next" w:cstheme="minorHAnsi"/>
        </w:rPr>
        <w:t>With the proposed abolition of 153 local Healthwatch across the country, as well as the national body Healthwatch England,</w:t>
      </w:r>
      <w:r>
        <w:rPr>
          <w:rFonts w:ascii="Atkinson Hyperlegible Next" w:hAnsi="Atkinson Hyperlegible Next" w:cstheme="minorHAnsi"/>
        </w:rPr>
        <w:t xml:space="preserve"> </w:t>
      </w:r>
      <w:r w:rsidR="007130C6" w:rsidRPr="003E2E3E">
        <w:rPr>
          <w:rFonts w:ascii="Atkinson Hyperlegible Next" w:hAnsi="Atkinson Hyperlegible Next" w:cstheme="minorHAnsi"/>
        </w:rPr>
        <w:t>what mechanisms should be put in place to ensure meaningful patient voice and feedback are embedded in the design, delivery, and evaluation of neighbourhood health hubs and wider access reforms? What specific metrics and accountability frameworks should be developed to monitor and proactively respond to regional disparities in access to primary care?</w:t>
      </w:r>
    </w:p>
    <w:p w14:paraId="4DB1C8AA" w14:textId="77777777" w:rsidR="00A56815" w:rsidRPr="003E2E3E" w:rsidRDefault="00A56815" w:rsidP="00A56815">
      <w:pPr>
        <w:pStyle w:val="ListParagraph"/>
        <w:jc w:val="both"/>
        <w:rPr>
          <w:rFonts w:ascii="Atkinson Hyperlegible Next" w:hAnsi="Atkinson Hyperlegible Next" w:cstheme="minorHAnsi"/>
        </w:rPr>
      </w:pPr>
    </w:p>
    <w:p w14:paraId="150A9B4A" w14:textId="68CF6F47" w:rsidR="007130C6" w:rsidRPr="003E2E3E" w:rsidRDefault="007130C6" w:rsidP="007130C6">
      <w:pPr>
        <w:pStyle w:val="ListParagraph"/>
        <w:numPr>
          <w:ilvl w:val="0"/>
          <w:numId w:val="3"/>
        </w:numPr>
        <w:jc w:val="both"/>
        <w:rPr>
          <w:rFonts w:ascii="Atkinson Hyperlegible Next" w:hAnsi="Atkinson Hyperlegible Next" w:cstheme="minorHAnsi"/>
        </w:rPr>
      </w:pPr>
      <w:r w:rsidRPr="003E2E3E">
        <w:rPr>
          <w:rFonts w:ascii="Atkinson Hyperlegible Next" w:hAnsi="Atkinson Hyperlegible Next" w:cstheme="minorHAnsi"/>
        </w:rPr>
        <w:t>What lessons or evidence can be drawn from local or regional models that have successfully improved access for underserved populations and what policy measures should be included in the 10-Year Health Plan to embed these approaches and reduce health inequalities?</w:t>
      </w:r>
    </w:p>
    <w:p w14:paraId="71A011CF" w14:textId="386BF18F" w:rsidR="007130C6" w:rsidRPr="003E2E3E" w:rsidRDefault="007130C6" w:rsidP="007130C6">
      <w:pPr>
        <w:rPr>
          <w:rFonts w:ascii="Atkinson Hyperlegible Next" w:hAnsi="Atkinson Hyperlegible Next" w:cstheme="minorHAnsi"/>
          <w:color w:val="660033"/>
        </w:rPr>
      </w:pPr>
    </w:p>
    <w:p w14:paraId="24D82ECF" w14:textId="206B557E" w:rsidR="007130C6" w:rsidRPr="003E2E3E" w:rsidRDefault="00A56815" w:rsidP="7F032D55">
      <w:pPr>
        <w:rPr>
          <w:rFonts w:ascii="Atkinson Hyperlegible Next" w:hAnsi="Atkinson Hyperlegible Next"/>
          <w:b/>
          <w:bCs/>
          <w:color w:val="660033"/>
        </w:rPr>
      </w:pPr>
      <w:r w:rsidRPr="7F032D55">
        <w:rPr>
          <w:rFonts w:ascii="Atkinson Hyperlegible Next" w:hAnsi="Atkinson Hyperlegible Next"/>
          <w:b/>
          <w:bCs/>
          <w:color w:val="660033"/>
        </w:rPr>
        <w:lastRenderedPageBreak/>
        <w:t xml:space="preserve">Theme </w:t>
      </w:r>
      <w:r w:rsidR="007130C6" w:rsidRPr="7F032D55">
        <w:rPr>
          <w:rFonts w:ascii="Atkinson Hyperlegible Next" w:hAnsi="Atkinson Hyperlegible Next"/>
          <w:b/>
          <w:bCs/>
          <w:color w:val="660033"/>
        </w:rPr>
        <w:t>2. Harnessing Digital Transformation and System Integration</w:t>
      </w:r>
    </w:p>
    <w:p w14:paraId="6015C222" w14:textId="77777777" w:rsidR="00A56815" w:rsidRPr="003E2E3E" w:rsidRDefault="00A56815" w:rsidP="00A56815">
      <w:pPr>
        <w:pStyle w:val="ListParagraph"/>
        <w:numPr>
          <w:ilvl w:val="0"/>
          <w:numId w:val="3"/>
        </w:numPr>
        <w:rPr>
          <w:rFonts w:ascii="Atkinson Hyperlegible Next" w:hAnsi="Atkinson Hyperlegible Next" w:cstheme="minorHAnsi"/>
        </w:rPr>
      </w:pPr>
    </w:p>
    <w:p w14:paraId="3B2292E7" w14:textId="51A4137C" w:rsidR="00A56815" w:rsidRPr="003E2E3E" w:rsidRDefault="007130C6" w:rsidP="007130C6">
      <w:pPr>
        <w:pStyle w:val="ListParagraph"/>
        <w:numPr>
          <w:ilvl w:val="0"/>
          <w:numId w:val="6"/>
        </w:numPr>
        <w:rPr>
          <w:rFonts w:ascii="Atkinson Hyperlegible Next" w:hAnsi="Atkinson Hyperlegible Next" w:cstheme="minorHAnsi"/>
        </w:rPr>
      </w:pPr>
      <w:r w:rsidRPr="003E2E3E">
        <w:rPr>
          <w:rFonts w:ascii="Atkinson Hyperlegible Next" w:hAnsi="Atkinson Hyperlegible Next" w:cstheme="minorHAnsi"/>
        </w:rPr>
        <w:t xml:space="preserve">What are the key structural or digital barriers that primary care providers face in achieving </w:t>
      </w:r>
      <w:proofErr w:type="gramStart"/>
      <w:r w:rsidRPr="003E2E3E">
        <w:rPr>
          <w:rFonts w:ascii="Atkinson Hyperlegible Next" w:hAnsi="Atkinson Hyperlegible Next" w:cstheme="minorHAnsi"/>
        </w:rPr>
        <w:t>joined-up</w:t>
      </w:r>
      <w:proofErr w:type="gramEnd"/>
      <w:r w:rsidRPr="003E2E3E">
        <w:rPr>
          <w:rFonts w:ascii="Atkinson Hyperlegible Next" w:hAnsi="Atkinson Hyperlegible Next" w:cstheme="minorHAnsi"/>
        </w:rPr>
        <w:t xml:space="preserve"> working and system integration</w:t>
      </w:r>
      <w:r w:rsidR="00D11BE3">
        <w:rPr>
          <w:rFonts w:ascii="Atkinson Hyperlegible Next" w:hAnsi="Atkinson Hyperlegible Next" w:cstheme="minorHAnsi"/>
        </w:rPr>
        <w:t>,</w:t>
      </w:r>
      <w:r w:rsidR="00F7504C" w:rsidRPr="003E2E3E">
        <w:rPr>
          <w:rFonts w:ascii="Atkinson Hyperlegible Next" w:hAnsi="Atkinson Hyperlegible Next" w:cstheme="minorHAnsi"/>
        </w:rPr>
        <w:t xml:space="preserve"> </w:t>
      </w:r>
      <w:r w:rsidRPr="003E2E3E">
        <w:rPr>
          <w:rFonts w:ascii="Atkinson Hyperlegible Next" w:hAnsi="Atkinson Hyperlegible Next" w:cstheme="minorHAnsi"/>
        </w:rPr>
        <w:t>and what policy changes, innovations</w:t>
      </w:r>
      <w:r w:rsidR="00D11BE3">
        <w:rPr>
          <w:rFonts w:ascii="Atkinson Hyperlegible Next" w:hAnsi="Atkinson Hyperlegible Next" w:cstheme="minorHAnsi"/>
        </w:rPr>
        <w:t>,</w:t>
      </w:r>
      <w:r w:rsidRPr="003E2E3E">
        <w:rPr>
          <w:rFonts w:ascii="Atkinson Hyperlegible Next" w:hAnsi="Atkinson Hyperlegible Next" w:cstheme="minorHAnsi"/>
        </w:rPr>
        <w:t xml:space="preserve"> or practical solutions would best support seamless and collaborative primary care?</w:t>
      </w:r>
    </w:p>
    <w:p w14:paraId="1EA0D448" w14:textId="46B267CA" w:rsidR="007130C6" w:rsidRPr="003E2E3E" w:rsidRDefault="007130C6" w:rsidP="007130C6">
      <w:pPr>
        <w:pStyle w:val="ListParagraph"/>
        <w:numPr>
          <w:ilvl w:val="0"/>
          <w:numId w:val="6"/>
        </w:numPr>
        <w:rPr>
          <w:rFonts w:ascii="Atkinson Hyperlegible Next" w:hAnsi="Atkinson Hyperlegible Next" w:cstheme="minorHAnsi"/>
        </w:rPr>
      </w:pPr>
      <w:r w:rsidRPr="003E2E3E">
        <w:rPr>
          <w:rFonts w:ascii="Atkinson Hyperlegible Next" w:hAnsi="Atkinson Hyperlegible Next" w:cstheme="minorHAnsi"/>
        </w:rPr>
        <w:t>What are the most significant barriers to interoperability across NHS digital systems</w:t>
      </w:r>
      <w:r w:rsidR="00F7504C" w:rsidRPr="003E2E3E">
        <w:rPr>
          <w:rFonts w:ascii="Atkinson Hyperlegible Next" w:hAnsi="Atkinson Hyperlegible Next" w:cstheme="minorHAnsi"/>
        </w:rPr>
        <w:t xml:space="preserve"> </w:t>
      </w:r>
      <w:r w:rsidRPr="003E2E3E">
        <w:rPr>
          <w:rFonts w:ascii="Atkinson Hyperlegible Next" w:hAnsi="Atkinson Hyperlegible Next" w:cstheme="minorHAnsi"/>
        </w:rPr>
        <w:t>and how can suppliers be better supported</w:t>
      </w:r>
      <w:r w:rsidR="00A56815" w:rsidRPr="003E2E3E">
        <w:rPr>
          <w:rFonts w:ascii="Atkinson Hyperlegible Next" w:hAnsi="Atkinson Hyperlegible Next" w:cstheme="minorHAnsi"/>
        </w:rPr>
        <w:t xml:space="preserve"> </w:t>
      </w:r>
      <w:r w:rsidRPr="003E2E3E">
        <w:rPr>
          <w:rFonts w:ascii="Atkinson Hyperlegible Next" w:hAnsi="Atkinson Hyperlegible Next" w:cstheme="minorHAnsi"/>
        </w:rPr>
        <w:t>or required</w:t>
      </w:r>
      <w:r w:rsidR="00A56815" w:rsidRPr="003E2E3E">
        <w:rPr>
          <w:rFonts w:ascii="Atkinson Hyperlegible Next" w:hAnsi="Atkinson Hyperlegible Next" w:cstheme="minorHAnsi"/>
        </w:rPr>
        <w:t xml:space="preserve"> </w:t>
      </w:r>
      <w:r w:rsidRPr="003E2E3E">
        <w:rPr>
          <w:rFonts w:ascii="Atkinson Hyperlegible Next" w:hAnsi="Atkinson Hyperlegible Next" w:cstheme="minorHAnsi"/>
        </w:rPr>
        <w:t>to enable real-time data exchange across all primary care providers?</w:t>
      </w:r>
    </w:p>
    <w:p w14:paraId="4B17DA2B" w14:textId="77777777" w:rsidR="00A56815" w:rsidRPr="003E2E3E" w:rsidRDefault="00A56815" w:rsidP="00A56815">
      <w:pPr>
        <w:pStyle w:val="ListParagraph"/>
        <w:ind w:left="1080"/>
        <w:rPr>
          <w:rFonts w:ascii="Atkinson Hyperlegible Next" w:hAnsi="Atkinson Hyperlegible Next" w:cstheme="minorHAnsi"/>
        </w:rPr>
      </w:pPr>
    </w:p>
    <w:p w14:paraId="65E8DFCB" w14:textId="5194A790" w:rsidR="007130C6" w:rsidRPr="003E2E3E" w:rsidRDefault="007130C6" w:rsidP="7F032D55">
      <w:pPr>
        <w:pStyle w:val="ListParagraph"/>
        <w:numPr>
          <w:ilvl w:val="0"/>
          <w:numId w:val="3"/>
        </w:numPr>
        <w:rPr>
          <w:rFonts w:ascii="Atkinson Hyperlegible Next" w:hAnsi="Atkinson Hyperlegible Next"/>
        </w:rPr>
      </w:pPr>
      <w:r w:rsidRPr="7F032D55">
        <w:rPr>
          <w:rFonts w:ascii="Atkinson Hyperlegible Next" w:hAnsi="Atkinson Hyperlegible Next"/>
        </w:rPr>
        <w:t>How should transparency, safety</w:t>
      </w:r>
      <w:r w:rsidR="00D11BE3">
        <w:rPr>
          <w:rFonts w:ascii="Atkinson Hyperlegible Next" w:hAnsi="Atkinson Hyperlegible Next"/>
        </w:rPr>
        <w:t>,</w:t>
      </w:r>
      <w:r w:rsidR="00F7504C" w:rsidRPr="7F032D55">
        <w:rPr>
          <w:rFonts w:ascii="Atkinson Hyperlegible Next" w:hAnsi="Atkinson Hyperlegible Next"/>
        </w:rPr>
        <w:t xml:space="preserve"> </w:t>
      </w:r>
      <w:r w:rsidRPr="7F032D55">
        <w:rPr>
          <w:rFonts w:ascii="Atkinson Hyperlegible Next" w:hAnsi="Atkinson Hyperlegible Next"/>
        </w:rPr>
        <w:t>and public trust be maintained when deploying AI or virtual tools in primary care, and what governance and regulatory safeguards are required?</w:t>
      </w:r>
    </w:p>
    <w:p w14:paraId="13FAF309" w14:textId="77777777" w:rsidR="00A56815" w:rsidRPr="003E2E3E" w:rsidRDefault="00A56815" w:rsidP="00A56815">
      <w:pPr>
        <w:pStyle w:val="ListParagraph"/>
        <w:rPr>
          <w:rFonts w:ascii="Atkinson Hyperlegible Next" w:hAnsi="Atkinson Hyperlegible Next" w:cstheme="minorHAnsi"/>
        </w:rPr>
      </w:pPr>
    </w:p>
    <w:p w14:paraId="27A05DDA" w14:textId="50A6C0DF" w:rsidR="00A56815" w:rsidRPr="003E2E3E" w:rsidRDefault="00A56815" w:rsidP="00F96614">
      <w:pPr>
        <w:pStyle w:val="ListParagraph"/>
        <w:numPr>
          <w:ilvl w:val="0"/>
          <w:numId w:val="3"/>
        </w:numPr>
        <w:rPr>
          <w:rFonts w:ascii="Atkinson Hyperlegible Next" w:hAnsi="Atkinson Hyperlegible Next" w:cstheme="minorHAnsi"/>
        </w:rPr>
      </w:pPr>
    </w:p>
    <w:p w14:paraId="6D58ECEA" w14:textId="5C1CBE3B" w:rsidR="00A56815" w:rsidRPr="003E2E3E" w:rsidRDefault="007130C6" w:rsidP="65889926">
      <w:pPr>
        <w:pStyle w:val="ListParagraph"/>
        <w:numPr>
          <w:ilvl w:val="0"/>
          <w:numId w:val="7"/>
        </w:numPr>
        <w:rPr>
          <w:rFonts w:ascii="Atkinson Hyperlegible Next" w:hAnsi="Atkinson Hyperlegible Next"/>
        </w:rPr>
      </w:pPr>
      <w:r w:rsidRPr="65889926">
        <w:rPr>
          <w:rFonts w:ascii="Atkinson Hyperlegible Next" w:hAnsi="Atkinson Hyperlegible Next"/>
        </w:rPr>
        <w:t xml:space="preserve">What national-level </w:t>
      </w:r>
      <w:r w:rsidR="00695892" w:rsidRPr="65889926">
        <w:rPr>
          <w:rFonts w:ascii="Atkinson Hyperlegible Next" w:hAnsi="Atkinson Hyperlegible Next"/>
        </w:rPr>
        <w:t xml:space="preserve">infrastructure, </w:t>
      </w:r>
      <w:r w:rsidRPr="65889926">
        <w:rPr>
          <w:rFonts w:ascii="Atkinson Hyperlegible Next" w:hAnsi="Atkinson Hyperlegible Next"/>
        </w:rPr>
        <w:t>policy reforms or regulatory levers are required to ensure the implementation of shared patient records across GP, pharmacy, dentistry, and optometry services? Which governance bodies should oversee data sharing and record access?</w:t>
      </w:r>
    </w:p>
    <w:p w14:paraId="098AD844" w14:textId="3852D69E" w:rsidR="007130C6" w:rsidRPr="003E2E3E" w:rsidRDefault="007130C6" w:rsidP="00A56815">
      <w:pPr>
        <w:pStyle w:val="ListParagraph"/>
        <w:numPr>
          <w:ilvl w:val="0"/>
          <w:numId w:val="7"/>
        </w:numPr>
        <w:rPr>
          <w:rFonts w:ascii="Atkinson Hyperlegible Next" w:hAnsi="Atkinson Hyperlegible Next" w:cstheme="minorHAnsi"/>
        </w:rPr>
      </w:pPr>
      <w:r w:rsidRPr="003E2E3E">
        <w:rPr>
          <w:rFonts w:ascii="Atkinson Hyperlegible Next" w:hAnsi="Atkinson Hyperlegible Next" w:cstheme="minorHAnsi"/>
        </w:rPr>
        <w:t>Which regions or Integrated Care Systems (ICSs) are furthest ahead in developing shared primary care records</w:t>
      </w:r>
      <w:r w:rsidR="00F7504C" w:rsidRPr="003E2E3E">
        <w:rPr>
          <w:rFonts w:ascii="Atkinson Hyperlegible Next" w:hAnsi="Atkinson Hyperlegible Next" w:cstheme="minorHAnsi"/>
        </w:rPr>
        <w:t xml:space="preserve"> </w:t>
      </w:r>
      <w:r w:rsidRPr="003E2E3E">
        <w:rPr>
          <w:rFonts w:ascii="Atkinson Hyperlegible Next" w:hAnsi="Atkinson Hyperlegible Next" w:cstheme="minorHAnsi"/>
        </w:rPr>
        <w:t>and what common enablers and pitfalls should inform national scaling?</w:t>
      </w:r>
    </w:p>
    <w:p w14:paraId="57046C01" w14:textId="77777777" w:rsidR="00A56815" w:rsidRPr="003E2E3E" w:rsidRDefault="00A56815" w:rsidP="00A56815">
      <w:pPr>
        <w:pStyle w:val="ListParagraph"/>
        <w:ind w:left="1080"/>
        <w:rPr>
          <w:rFonts w:ascii="Atkinson Hyperlegible Next" w:hAnsi="Atkinson Hyperlegible Next" w:cstheme="minorHAnsi"/>
        </w:rPr>
      </w:pPr>
    </w:p>
    <w:p w14:paraId="7BB28BA7" w14:textId="0C675256" w:rsidR="00A56815" w:rsidRPr="003E2E3E" w:rsidRDefault="007130C6" w:rsidP="007130C6">
      <w:pPr>
        <w:pStyle w:val="ListParagraph"/>
        <w:numPr>
          <w:ilvl w:val="0"/>
          <w:numId w:val="3"/>
        </w:numPr>
        <w:rPr>
          <w:rFonts w:ascii="Atkinson Hyperlegible Next" w:hAnsi="Atkinson Hyperlegible Next" w:cstheme="minorHAnsi"/>
        </w:rPr>
      </w:pPr>
      <w:r w:rsidRPr="003E2E3E">
        <w:rPr>
          <w:rFonts w:ascii="Atkinson Hyperlegible Next" w:hAnsi="Atkinson Hyperlegible Next" w:cstheme="minorHAnsi"/>
        </w:rPr>
        <w:t>How adaptable are neighbourhood digital models to rural, coastal, or highly deprived communities and what modifications are required to ensure equitable digital access?</w:t>
      </w:r>
    </w:p>
    <w:p w14:paraId="41771058" w14:textId="77777777" w:rsidR="00A56815" w:rsidRPr="003E2E3E" w:rsidRDefault="00A56815" w:rsidP="00A56815">
      <w:pPr>
        <w:pStyle w:val="ListParagraph"/>
        <w:rPr>
          <w:rFonts w:ascii="Atkinson Hyperlegible Next" w:hAnsi="Atkinson Hyperlegible Next" w:cstheme="minorHAnsi"/>
        </w:rPr>
      </w:pPr>
    </w:p>
    <w:p w14:paraId="2E1600A6" w14:textId="6A00D452" w:rsidR="007130C6" w:rsidRDefault="007130C6" w:rsidP="007130C6">
      <w:pPr>
        <w:pStyle w:val="ListParagraph"/>
        <w:numPr>
          <w:ilvl w:val="0"/>
          <w:numId w:val="3"/>
        </w:numPr>
        <w:rPr>
          <w:rFonts w:ascii="Atkinson Hyperlegible Next" w:hAnsi="Atkinson Hyperlegible Next" w:cstheme="minorHAnsi"/>
        </w:rPr>
      </w:pPr>
      <w:r w:rsidRPr="003E2E3E">
        <w:rPr>
          <w:rFonts w:ascii="Atkinson Hyperlegible Next" w:hAnsi="Atkinson Hyperlegible Next" w:cstheme="minorHAnsi"/>
        </w:rPr>
        <w:t>As the NHS App expands to include more sensitive clinical information and referral tools, what governance, consent</w:t>
      </w:r>
      <w:r w:rsidR="004D169F">
        <w:rPr>
          <w:rFonts w:ascii="Atkinson Hyperlegible Next" w:hAnsi="Atkinson Hyperlegible Next" w:cstheme="minorHAnsi"/>
        </w:rPr>
        <w:t>,</w:t>
      </w:r>
      <w:r w:rsidRPr="003E2E3E">
        <w:rPr>
          <w:rFonts w:ascii="Atkinson Hyperlegible Next" w:hAnsi="Atkinson Hyperlegible Next" w:cstheme="minorHAnsi"/>
        </w:rPr>
        <w:t xml:space="preserve"> and accountability mechanisms are needed to protect patient trust, particularly where AI or third-party systems are involved?</w:t>
      </w:r>
    </w:p>
    <w:p w14:paraId="3E3451C6" w14:textId="77777777" w:rsidR="00A345B7" w:rsidRPr="00054CF5" w:rsidRDefault="00A345B7" w:rsidP="00054CF5">
      <w:pPr>
        <w:pStyle w:val="ListParagraph"/>
        <w:rPr>
          <w:rFonts w:ascii="Atkinson Hyperlegible Next" w:hAnsi="Atkinson Hyperlegible Next" w:cstheme="minorHAnsi"/>
        </w:rPr>
      </w:pPr>
    </w:p>
    <w:p w14:paraId="62600134" w14:textId="77777777" w:rsidR="00D11BE3" w:rsidRDefault="00D11BE3" w:rsidP="00D11BE3">
      <w:pPr>
        <w:pStyle w:val="ListParagraph"/>
        <w:numPr>
          <w:ilvl w:val="0"/>
          <w:numId w:val="3"/>
        </w:numPr>
        <w:rPr>
          <w:rFonts w:ascii="Atkinson Hyperlegible Next" w:hAnsi="Atkinson Hyperlegible Next" w:cstheme="minorHAnsi"/>
        </w:rPr>
      </w:pPr>
    </w:p>
    <w:p w14:paraId="2DA1EC12" w14:textId="7EDBE9D6" w:rsidR="00A345B7" w:rsidRPr="004D169F" w:rsidRDefault="00A345B7" w:rsidP="00374ABD">
      <w:pPr>
        <w:pStyle w:val="ListParagraph"/>
        <w:numPr>
          <w:ilvl w:val="0"/>
          <w:numId w:val="31"/>
        </w:numPr>
        <w:rPr>
          <w:rFonts w:ascii="Atkinson Hyperlegible Next" w:hAnsi="Atkinson Hyperlegible Next" w:cstheme="minorHAnsi"/>
        </w:rPr>
      </w:pPr>
      <w:r w:rsidRPr="00374ABD">
        <w:rPr>
          <w:rFonts w:ascii="Atkinson Hyperlegible Next" w:hAnsi="Atkinson Hyperlegible Next" w:cstheme="minorHAnsi"/>
        </w:rPr>
        <w:t>What digital exclusion and digital literacy barriers are patients encountering as primary care services become increasingly digital?</w:t>
      </w:r>
    </w:p>
    <w:p w14:paraId="4E8ACF02" w14:textId="55A6AF73" w:rsidR="00A345B7" w:rsidRPr="004D169F" w:rsidRDefault="00A345B7" w:rsidP="00374ABD">
      <w:pPr>
        <w:pStyle w:val="ListParagraph"/>
        <w:numPr>
          <w:ilvl w:val="0"/>
          <w:numId w:val="31"/>
        </w:numPr>
        <w:rPr>
          <w:rFonts w:ascii="Atkinson Hyperlegible Next" w:hAnsi="Atkinson Hyperlegible Next" w:cstheme="minorHAnsi"/>
        </w:rPr>
      </w:pPr>
      <w:r w:rsidRPr="004D169F">
        <w:rPr>
          <w:rFonts w:ascii="Atkinson Hyperlegible Next" w:hAnsi="Atkinson Hyperlegible Next" w:cstheme="minorHAnsi"/>
        </w:rPr>
        <w:t>What national policy frameworks, funding mechanisms, accountability arrangements</w:t>
      </w:r>
      <w:r w:rsidR="004D169F">
        <w:rPr>
          <w:rFonts w:ascii="Atkinson Hyperlegible Next" w:hAnsi="Atkinson Hyperlegible Next" w:cstheme="minorHAnsi"/>
        </w:rPr>
        <w:t>,</w:t>
      </w:r>
      <w:r w:rsidRPr="004D169F">
        <w:rPr>
          <w:rFonts w:ascii="Atkinson Hyperlegible Next" w:hAnsi="Atkinson Hyperlegible Next" w:cstheme="minorHAnsi"/>
        </w:rPr>
        <w:t xml:space="preserve"> or system-wide interventions are needed to address these barriers and ensure that digital transformation enhances rather than restricts equitable access to primary care services?</w:t>
      </w:r>
    </w:p>
    <w:p w14:paraId="1D23BC52" w14:textId="072701FE" w:rsidR="007130C6" w:rsidRPr="003E2E3E" w:rsidRDefault="007130C6" w:rsidP="007130C6">
      <w:pPr>
        <w:rPr>
          <w:rFonts w:ascii="Atkinson Hyperlegible Next" w:hAnsi="Atkinson Hyperlegible Next" w:cstheme="minorHAnsi"/>
          <w:color w:val="660033"/>
        </w:rPr>
      </w:pPr>
    </w:p>
    <w:p w14:paraId="7EFC4B5C" w14:textId="1673F22F" w:rsidR="007130C6" w:rsidRPr="003E2E3E" w:rsidRDefault="00A56815" w:rsidP="007130C6">
      <w:pPr>
        <w:rPr>
          <w:rFonts w:ascii="Atkinson Hyperlegible Next" w:hAnsi="Atkinson Hyperlegible Next" w:cstheme="minorHAnsi"/>
          <w:b/>
          <w:bCs/>
          <w:color w:val="660033"/>
        </w:rPr>
      </w:pPr>
      <w:r w:rsidRPr="003E2E3E">
        <w:rPr>
          <w:rFonts w:ascii="Atkinson Hyperlegible Next" w:hAnsi="Atkinson Hyperlegible Next" w:cstheme="minorHAnsi"/>
          <w:b/>
          <w:bCs/>
          <w:color w:val="660033"/>
        </w:rPr>
        <w:t xml:space="preserve">Theme </w:t>
      </w:r>
      <w:r w:rsidR="007130C6" w:rsidRPr="003E2E3E">
        <w:rPr>
          <w:rFonts w:ascii="Atkinson Hyperlegible Next" w:hAnsi="Atkinson Hyperlegible Next" w:cstheme="minorHAnsi"/>
          <w:b/>
          <w:bCs/>
          <w:color w:val="660033"/>
        </w:rPr>
        <w:t>3. Securing Long-Term Sustainability in Primary Care</w:t>
      </w:r>
    </w:p>
    <w:p w14:paraId="5970DC5A" w14:textId="410D549D" w:rsidR="007130C6" w:rsidRPr="003E2E3E" w:rsidRDefault="007130C6" w:rsidP="007130C6">
      <w:pPr>
        <w:rPr>
          <w:rFonts w:ascii="Atkinson Hyperlegible Next" w:hAnsi="Atkinson Hyperlegible Next" w:cstheme="minorHAnsi"/>
          <w:b/>
          <w:bCs/>
          <w:color w:val="660033"/>
        </w:rPr>
      </w:pPr>
      <w:r w:rsidRPr="003E2E3E">
        <w:rPr>
          <w:rFonts w:ascii="Atkinson Hyperlegible Next" w:hAnsi="Atkinson Hyperlegible Next" w:cstheme="minorHAnsi"/>
          <w:b/>
          <w:bCs/>
          <w:color w:val="660033"/>
        </w:rPr>
        <w:t>Funding</w:t>
      </w:r>
    </w:p>
    <w:p w14:paraId="7121D42D" w14:textId="77777777" w:rsidR="00A56815" w:rsidRPr="003E2E3E" w:rsidRDefault="00A56815" w:rsidP="00A56815">
      <w:pPr>
        <w:pStyle w:val="ListParagraph"/>
        <w:numPr>
          <w:ilvl w:val="0"/>
          <w:numId w:val="3"/>
        </w:numPr>
        <w:rPr>
          <w:rFonts w:ascii="Atkinson Hyperlegible Next" w:hAnsi="Atkinson Hyperlegible Next" w:cstheme="minorHAnsi"/>
        </w:rPr>
      </w:pPr>
    </w:p>
    <w:p w14:paraId="7CAC2261" w14:textId="068FC272" w:rsidR="00A56815" w:rsidRPr="003E2E3E" w:rsidRDefault="007130C6" w:rsidP="007130C6">
      <w:pPr>
        <w:pStyle w:val="ListParagraph"/>
        <w:numPr>
          <w:ilvl w:val="0"/>
          <w:numId w:val="9"/>
        </w:numPr>
        <w:rPr>
          <w:rFonts w:ascii="Atkinson Hyperlegible Next" w:hAnsi="Atkinson Hyperlegible Next" w:cstheme="minorHAnsi"/>
        </w:rPr>
      </w:pPr>
      <w:r w:rsidRPr="003E2E3E">
        <w:rPr>
          <w:rFonts w:ascii="Atkinson Hyperlegible Next" w:hAnsi="Atkinson Hyperlegible Next" w:cstheme="minorHAnsi"/>
        </w:rPr>
        <w:t>What are the main funding challenges affecting primary care service provision</w:t>
      </w:r>
      <w:r w:rsidR="00F7504C" w:rsidRPr="003E2E3E">
        <w:rPr>
          <w:rFonts w:ascii="Atkinson Hyperlegible Next" w:hAnsi="Atkinson Hyperlegible Next" w:cstheme="minorHAnsi"/>
        </w:rPr>
        <w:t xml:space="preserve">, </w:t>
      </w:r>
      <w:r w:rsidRPr="003E2E3E">
        <w:rPr>
          <w:rFonts w:ascii="Atkinson Hyperlegible Next" w:hAnsi="Atkinson Hyperlegible Next" w:cstheme="minorHAnsi"/>
        </w:rPr>
        <w:t>including issues of allocation, timing</w:t>
      </w:r>
      <w:r w:rsidR="004D169F">
        <w:rPr>
          <w:rFonts w:ascii="Atkinson Hyperlegible Next" w:hAnsi="Atkinson Hyperlegible Next" w:cstheme="minorHAnsi"/>
        </w:rPr>
        <w:t>,</w:t>
      </w:r>
      <w:r w:rsidR="00F7504C" w:rsidRPr="003E2E3E">
        <w:rPr>
          <w:rFonts w:ascii="Atkinson Hyperlegible Next" w:hAnsi="Atkinson Hyperlegible Next" w:cstheme="minorHAnsi"/>
        </w:rPr>
        <w:t xml:space="preserve"> </w:t>
      </w:r>
      <w:r w:rsidRPr="003E2E3E">
        <w:rPr>
          <w:rFonts w:ascii="Atkinson Hyperlegible Next" w:hAnsi="Atkinson Hyperlegible Next" w:cstheme="minorHAnsi"/>
        </w:rPr>
        <w:t>and stability</w:t>
      </w:r>
      <w:r w:rsidR="00F7504C" w:rsidRPr="003E2E3E">
        <w:rPr>
          <w:rFonts w:ascii="Atkinson Hyperlegible Next" w:hAnsi="Atkinson Hyperlegible Next" w:cstheme="minorHAnsi"/>
        </w:rPr>
        <w:t>. H</w:t>
      </w:r>
      <w:r w:rsidRPr="003E2E3E">
        <w:rPr>
          <w:rFonts w:ascii="Atkinson Hyperlegible Next" w:hAnsi="Atkinson Hyperlegible Next" w:cstheme="minorHAnsi"/>
        </w:rPr>
        <w:t>ow do these challenges affect quality</w:t>
      </w:r>
      <w:r w:rsidR="00F7504C" w:rsidRPr="003E2E3E">
        <w:rPr>
          <w:rFonts w:ascii="Atkinson Hyperlegible Next" w:hAnsi="Atkinson Hyperlegible Next" w:cstheme="minorHAnsi"/>
        </w:rPr>
        <w:t xml:space="preserve"> of service provision and</w:t>
      </w:r>
      <w:r w:rsidRPr="003E2E3E">
        <w:rPr>
          <w:rFonts w:ascii="Atkinson Hyperlegible Next" w:hAnsi="Atkinson Hyperlegible Next" w:cstheme="minorHAnsi"/>
        </w:rPr>
        <w:t xml:space="preserve"> workforce </w:t>
      </w:r>
      <w:r w:rsidR="00F7504C" w:rsidRPr="003E2E3E">
        <w:rPr>
          <w:rFonts w:ascii="Atkinson Hyperlegible Next" w:hAnsi="Atkinson Hyperlegible Next" w:cstheme="minorHAnsi"/>
        </w:rPr>
        <w:t>capacity?</w:t>
      </w:r>
    </w:p>
    <w:p w14:paraId="5FE0815E" w14:textId="77777777" w:rsidR="00A56815" w:rsidRPr="003E2E3E" w:rsidRDefault="00A56815" w:rsidP="00A56815">
      <w:pPr>
        <w:pStyle w:val="ListParagraph"/>
        <w:ind w:left="1080"/>
        <w:rPr>
          <w:rFonts w:ascii="Atkinson Hyperlegible Next" w:hAnsi="Atkinson Hyperlegible Next" w:cstheme="minorHAnsi"/>
        </w:rPr>
      </w:pPr>
    </w:p>
    <w:p w14:paraId="4307B385" w14:textId="31DB101F" w:rsidR="00054CF5" w:rsidRPr="00054CF5" w:rsidRDefault="007130C6" w:rsidP="00054CF5">
      <w:pPr>
        <w:pStyle w:val="ListParagraph"/>
        <w:numPr>
          <w:ilvl w:val="0"/>
          <w:numId w:val="9"/>
        </w:numPr>
        <w:rPr>
          <w:rFonts w:ascii="Atkinson Hyperlegible Next" w:hAnsi="Atkinson Hyperlegible Next"/>
        </w:rPr>
      </w:pPr>
      <w:r w:rsidRPr="7F032D55">
        <w:rPr>
          <w:rFonts w:ascii="Atkinson Hyperlegible Next" w:hAnsi="Atkinson Hyperlegible Next"/>
        </w:rPr>
        <w:lastRenderedPageBreak/>
        <w:t>What opportunities exist to use current resources more efficiently across</w:t>
      </w:r>
      <w:r w:rsidR="00F7504C" w:rsidRPr="7F032D55">
        <w:rPr>
          <w:rFonts w:ascii="Atkinson Hyperlegible Next" w:hAnsi="Atkinson Hyperlegible Next"/>
        </w:rPr>
        <w:t xml:space="preserve"> the</w:t>
      </w:r>
      <w:r w:rsidRPr="7F032D55">
        <w:rPr>
          <w:rFonts w:ascii="Atkinson Hyperlegible Next" w:hAnsi="Atkinson Hyperlegible Next"/>
        </w:rPr>
        <w:t xml:space="preserve"> primary care sectors and what are the likely impacts of such changes? Please include case studies using the template </w:t>
      </w:r>
      <w:r w:rsidR="00F7504C" w:rsidRPr="7F032D55">
        <w:rPr>
          <w:rFonts w:ascii="Atkinson Hyperlegible Next" w:hAnsi="Atkinson Hyperlegible Next"/>
        </w:rPr>
        <w:t>provided and</w:t>
      </w:r>
      <w:r w:rsidRPr="7F032D55">
        <w:rPr>
          <w:rFonts w:ascii="Atkinson Hyperlegible Next" w:hAnsi="Atkinson Hyperlegible Next"/>
        </w:rPr>
        <w:t xml:space="preserve"> outline any system-level adjustments required.</w:t>
      </w:r>
    </w:p>
    <w:p w14:paraId="223F0310" w14:textId="76A5C097" w:rsidR="00054CF5" w:rsidRPr="00374ABD" w:rsidRDefault="00054CF5" w:rsidP="00374ABD">
      <w:pPr>
        <w:pStyle w:val="ListParagraph"/>
        <w:numPr>
          <w:ilvl w:val="0"/>
          <w:numId w:val="9"/>
        </w:numPr>
        <w:rPr>
          <w:rFonts w:ascii="Atkinson Hyperlegible Next" w:hAnsi="Atkinson Hyperlegible Next" w:cstheme="minorHAnsi"/>
        </w:rPr>
      </w:pPr>
      <w:r w:rsidRPr="00054CF5">
        <w:rPr>
          <w:rFonts w:ascii="Atkinson Hyperlegible Next" w:hAnsi="Atkinson Hyperlegible Next" w:cstheme="minorHAnsi"/>
        </w:rPr>
        <w:t>What changes to GP funding models are needed to improve patient access to primary care, and how can additional investment be targeted, structured</w:t>
      </w:r>
      <w:r w:rsidR="004D169F">
        <w:rPr>
          <w:rFonts w:ascii="Atkinson Hyperlegible Next" w:hAnsi="Atkinson Hyperlegible Next" w:cstheme="minorHAnsi"/>
        </w:rPr>
        <w:t>,</w:t>
      </w:r>
      <w:r w:rsidRPr="00054CF5">
        <w:rPr>
          <w:rFonts w:ascii="Atkinson Hyperlegible Next" w:hAnsi="Atkinson Hyperlegible Next" w:cstheme="minorHAnsi"/>
        </w:rPr>
        <w:t xml:space="preserve"> and monitored to ensure it delivers measurable improvements in access, capacity</w:t>
      </w:r>
      <w:r w:rsidR="004D169F">
        <w:rPr>
          <w:rFonts w:ascii="Atkinson Hyperlegible Next" w:hAnsi="Atkinson Hyperlegible Next" w:cstheme="minorHAnsi"/>
        </w:rPr>
        <w:t>,</w:t>
      </w:r>
      <w:r w:rsidRPr="00054CF5">
        <w:rPr>
          <w:rFonts w:ascii="Atkinson Hyperlegible Next" w:hAnsi="Atkinson Hyperlegible Next" w:cstheme="minorHAnsi"/>
        </w:rPr>
        <w:t xml:space="preserve"> and outcomes for patients?</w:t>
      </w:r>
    </w:p>
    <w:p w14:paraId="6BC19BA4" w14:textId="5FCD4B93" w:rsidR="007130C6" w:rsidRPr="003E2E3E" w:rsidRDefault="007130C6" w:rsidP="007130C6">
      <w:pPr>
        <w:pStyle w:val="ListParagraph"/>
        <w:numPr>
          <w:ilvl w:val="0"/>
          <w:numId w:val="9"/>
        </w:numPr>
        <w:rPr>
          <w:rFonts w:ascii="Atkinson Hyperlegible Next" w:hAnsi="Atkinson Hyperlegible Next" w:cstheme="minorHAnsi"/>
        </w:rPr>
      </w:pPr>
      <w:r w:rsidRPr="003E2E3E">
        <w:rPr>
          <w:rFonts w:ascii="Atkinson Hyperlegible Next" w:hAnsi="Atkinson Hyperlegible Next" w:cstheme="minorHAnsi"/>
        </w:rPr>
        <w:t>Aside from funding, what system-wide reforms or policy levers would have the greatest impact on improving access to primary care</w:t>
      </w:r>
      <w:r w:rsidR="00F7504C" w:rsidRPr="003E2E3E">
        <w:rPr>
          <w:rFonts w:ascii="Atkinson Hyperlegible Next" w:hAnsi="Atkinson Hyperlegible Next" w:cstheme="minorHAnsi"/>
        </w:rPr>
        <w:t xml:space="preserve"> </w:t>
      </w:r>
      <w:r w:rsidRPr="003E2E3E">
        <w:rPr>
          <w:rFonts w:ascii="Atkinson Hyperlegible Next" w:hAnsi="Atkinson Hyperlegible Next" w:cstheme="minorHAnsi"/>
        </w:rPr>
        <w:t>and which should be prioritised?</w:t>
      </w:r>
    </w:p>
    <w:p w14:paraId="7D7CDAD6" w14:textId="69968090" w:rsidR="007130C6" w:rsidRPr="003E2E3E" w:rsidRDefault="007130C6" w:rsidP="007130C6">
      <w:pPr>
        <w:rPr>
          <w:rFonts w:ascii="Atkinson Hyperlegible Next" w:hAnsi="Atkinson Hyperlegible Next" w:cstheme="minorHAnsi"/>
        </w:rPr>
      </w:pPr>
    </w:p>
    <w:p w14:paraId="39E4321D" w14:textId="77777777" w:rsidR="007130C6" w:rsidRPr="003E2E3E" w:rsidRDefault="007130C6" w:rsidP="007130C6">
      <w:pPr>
        <w:rPr>
          <w:rFonts w:ascii="Atkinson Hyperlegible Next" w:hAnsi="Atkinson Hyperlegible Next" w:cstheme="minorHAnsi"/>
          <w:b/>
          <w:bCs/>
          <w:color w:val="660033"/>
        </w:rPr>
      </w:pPr>
      <w:r w:rsidRPr="003E2E3E">
        <w:rPr>
          <w:rFonts w:ascii="Atkinson Hyperlegible Next" w:hAnsi="Atkinson Hyperlegible Next" w:cstheme="minorHAnsi"/>
          <w:b/>
          <w:bCs/>
          <w:color w:val="660033"/>
        </w:rPr>
        <w:t>Commissioning &amp; Contract Reform</w:t>
      </w:r>
    </w:p>
    <w:p w14:paraId="2DA1634B" w14:textId="77777777" w:rsidR="00A56815" w:rsidRPr="003E2E3E" w:rsidRDefault="00A56815" w:rsidP="00A56815">
      <w:pPr>
        <w:pStyle w:val="ListParagraph"/>
        <w:numPr>
          <w:ilvl w:val="0"/>
          <w:numId w:val="3"/>
        </w:numPr>
        <w:rPr>
          <w:rFonts w:ascii="Atkinson Hyperlegible Next" w:hAnsi="Atkinson Hyperlegible Next" w:cstheme="minorHAnsi"/>
        </w:rPr>
      </w:pPr>
      <w:bookmarkStart w:id="0" w:name="_Hlk216348238"/>
    </w:p>
    <w:p w14:paraId="4D958BF2" w14:textId="4FDA5DAF" w:rsidR="00A56815" w:rsidRPr="00374ABD" w:rsidRDefault="00457657" w:rsidP="00374ABD">
      <w:pPr>
        <w:pStyle w:val="ListParagraph"/>
        <w:numPr>
          <w:ilvl w:val="0"/>
          <w:numId w:val="10"/>
        </w:numPr>
        <w:rPr>
          <w:rFonts w:ascii="Atkinson Hyperlegible Next" w:hAnsi="Atkinson Hyperlegible Next" w:cstheme="minorHAnsi"/>
        </w:rPr>
      </w:pPr>
      <w:r w:rsidRPr="7F032D55">
        <w:rPr>
          <w:rFonts w:ascii="Atkinson Hyperlegible Next" w:hAnsi="Atkinson Hyperlegible Next"/>
        </w:rPr>
        <w:t>The inquiry has heard concerns about ‘competitive silos’ across primary care. What commissioning approaches would most effectively promote collaboration, shared triage, and multidisciplinary working across GP, pharmacy, dentistry, and optometry services, rather than competition for activity and income? Please outline any evidence or examples that demonstrate how commissioning reform could support more integrated, patient-centred models of care.</w:t>
      </w:r>
      <w:bookmarkEnd w:id="0"/>
    </w:p>
    <w:p w14:paraId="624E4689" w14:textId="0CB9B15E" w:rsidR="00A56815" w:rsidRPr="003E2E3E" w:rsidRDefault="007130C6" w:rsidP="00F96614">
      <w:pPr>
        <w:pStyle w:val="ListParagraph"/>
        <w:numPr>
          <w:ilvl w:val="0"/>
          <w:numId w:val="10"/>
        </w:numPr>
        <w:rPr>
          <w:rFonts w:ascii="Atkinson Hyperlegible Next" w:hAnsi="Atkinson Hyperlegible Next" w:cstheme="minorHAnsi"/>
        </w:rPr>
      </w:pPr>
      <w:r w:rsidRPr="003E2E3E">
        <w:rPr>
          <w:rFonts w:ascii="Atkinson Hyperlegible Next" w:hAnsi="Atkinson Hyperlegible Next" w:cstheme="minorHAnsi"/>
        </w:rPr>
        <w:t>How do current GP, dentistry, pharmacy</w:t>
      </w:r>
      <w:r w:rsidR="004D169F">
        <w:rPr>
          <w:rFonts w:ascii="Atkinson Hyperlegible Next" w:hAnsi="Atkinson Hyperlegible Next" w:cstheme="minorHAnsi"/>
        </w:rPr>
        <w:t>,</w:t>
      </w:r>
      <w:r w:rsidRPr="003E2E3E">
        <w:rPr>
          <w:rFonts w:ascii="Atkinson Hyperlegible Next" w:hAnsi="Atkinson Hyperlegible Next" w:cstheme="minorHAnsi"/>
        </w:rPr>
        <w:t xml:space="preserve"> and optometry contracts encourage or inhibit expansion of NHS care</w:t>
      </w:r>
      <w:r w:rsidR="00457657" w:rsidRPr="003E2E3E">
        <w:rPr>
          <w:rFonts w:ascii="Atkinson Hyperlegible Next" w:hAnsi="Atkinson Hyperlegible Next" w:cstheme="minorHAnsi"/>
        </w:rPr>
        <w:t xml:space="preserve"> </w:t>
      </w:r>
      <w:r w:rsidRPr="003E2E3E">
        <w:rPr>
          <w:rFonts w:ascii="Atkinson Hyperlegible Next" w:hAnsi="Atkinson Hyperlegible Next" w:cstheme="minorHAnsi"/>
        </w:rPr>
        <w:t>particularly in underserved communities</w:t>
      </w:r>
      <w:r w:rsidR="00F7504C" w:rsidRPr="003E2E3E">
        <w:rPr>
          <w:rFonts w:ascii="Atkinson Hyperlegible Next" w:hAnsi="Atkinson Hyperlegible Next" w:cstheme="minorHAnsi"/>
        </w:rPr>
        <w:t xml:space="preserve"> </w:t>
      </w:r>
      <w:r w:rsidRPr="003E2E3E">
        <w:rPr>
          <w:rFonts w:ascii="Atkinson Hyperlegible Next" w:hAnsi="Atkinson Hyperlegible Next" w:cstheme="minorHAnsi"/>
        </w:rPr>
        <w:t>and what changes would mitigate postcode lottery access disparities?</w:t>
      </w:r>
    </w:p>
    <w:p w14:paraId="03BF7092" w14:textId="77777777" w:rsidR="00A56815" w:rsidRPr="003E2E3E" w:rsidRDefault="00A56815" w:rsidP="00A56815">
      <w:pPr>
        <w:pStyle w:val="ListParagraph"/>
        <w:ind w:left="1080"/>
        <w:rPr>
          <w:rFonts w:ascii="Atkinson Hyperlegible Next" w:hAnsi="Atkinson Hyperlegible Next" w:cstheme="minorHAnsi"/>
        </w:rPr>
      </w:pPr>
    </w:p>
    <w:p w14:paraId="0898FC77" w14:textId="6CB27D44" w:rsidR="007130C6" w:rsidRPr="003E2E3E" w:rsidRDefault="007130C6" w:rsidP="7F032D55">
      <w:pPr>
        <w:pStyle w:val="ListParagraph"/>
        <w:numPr>
          <w:ilvl w:val="0"/>
          <w:numId w:val="3"/>
        </w:numPr>
        <w:rPr>
          <w:rFonts w:ascii="Atkinson Hyperlegible Next" w:hAnsi="Atkinson Hyperlegible Next"/>
        </w:rPr>
      </w:pPr>
      <w:r w:rsidRPr="7F032D55">
        <w:rPr>
          <w:rFonts w:ascii="Atkinson Hyperlegible Next" w:hAnsi="Atkinson Hyperlegible Next"/>
        </w:rPr>
        <w:t xml:space="preserve">Optometry </w:t>
      </w:r>
      <w:r w:rsidR="00457657" w:rsidRPr="7F032D55">
        <w:rPr>
          <w:rFonts w:ascii="Atkinson Hyperlegible Next" w:hAnsi="Atkinson Hyperlegible Next"/>
        </w:rPr>
        <w:t xml:space="preserve">and community pharmacy </w:t>
      </w:r>
      <w:r w:rsidRPr="7F032D55">
        <w:rPr>
          <w:rFonts w:ascii="Atkinson Hyperlegible Next" w:hAnsi="Atkinson Hyperlegible Next"/>
        </w:rPr>
        <w:t>ha</w:t>
      </w:r>
      <w:r w:rsidR="00457657" w:rsidRPr="7F032D55">
        <w:rPr>
          <w:rFonts w:ascii="Atkinson Hyperlegible Next" w:hAnsi="Atkinson Hyperlegible Next"/>
        </w:rPr>
        <w:t>ve</w:t>
      </w:r>
      <w:r w:rsidRPr="7F032D55">
        <w:rPr>
          <w:rFonts w:ascii="Atkinson Hyperlegible Next" w:hAnsi="Atkinson Hyperlegible Next"/>
        </w:rPr>
        <w:t xml:space="preserve"> one of the most geographically accessible networks in primary care. What lessons from its access and delivery model could be applied across other primary care sectors to improve integration, prevention</w:t>
      </w:r>
      <w:r w:rsidR="004D169F">
        <w:rPr>
          <w:rFonts w:ascii="Atkinson Hyperlegible Next" w:hAnsi="Atkinson Hyperlegible Next"/>
        </w:rPr>
        <w:t>,</w:t>
      </w:r>
      <w:r w:rsidRPr="7F032D55">
        <w:rPr>
          <w:rFonts w:ascii="Atkinson Hyperlegible Next" w:hAnsi="Atkinson Hyperlegible Next"/>
        </w:rPr>
        <w:t xml:space="preserve"> and first-contact care?</w:t>
      </w:r>
    </w:p>
    <w:p w14:paraId="68310E88" w14:textId="77777777" w:rsidR="00A56815" w:rsidRPr="003E2E3E" w:rsidRDefault="00A56815" w:rsidP="00A56815">
      <w:pPr>
        <w:pStyle w:val="ListParagraph"/>
        <w:rPr>
          <w:rFonts w:ascii="Atkinson Hyperlegible Next" w:hAnsi="Atkinson Hyperlegible Next" w:cstheme="minorHAnsi"/>
        </w:rPr>
      </w:pPr>
    </w:p>
    <w:p w14:paraId="39899069" w14:textId="77777777" w:rsidR="004D169F" w:rsidRPr="00374ABD" w:rsidRDefault="004D169F" w:rsidP="004D169F">
      <w:pPr>
        <w:pStyle w:val="ListParagraph"/>
        <w:numPr>
          <w:ilvl w:val="0"/>
          <w:numId w:val="3"/>
        </w:numPr>
        <w:rPr>
          <w:rFonts w:ascii="Atkinson Hyperlegible Next" w:hAnsi="Atkinson Hyperlegible Next" w:cstheme="minorHAnsi"/>
        </w:rPr>
      </w:pPr>
    </w:p>
    <w:p w14:paraId="00DD52C0" w14:textId="7CC4938C" w:rsidR="004D169F" w:rsidRPr="00374ABD" w:rsidRDefault="007130C6" w:rsidP="00374ABD">
      <w:pPr>
        <w:pStyle w:val="ListParagraph"/>
        <w:numPr>
          <w:ilvl w:val="0"/>
          <w:numId w:val="40"/>
        </w:numPr>
        <w:rPr>
          <w:rFonts w:ascii="Atkinson Hyperlegible Next" w:hAnsi="Atkinson Hyperlegible Next" w:cstheme="minorHAnsi"/>
        </w:rPr>
      </w:pPr>
      <w:r w:rsidRPr="00374ABD">
        <w:rPr>
          <w:rFonts w:ascii="Atkinson Hyperlegible Next" w:hAnsi="Atkinson Hyperlegible Next" w:cstheme="minorHAnsi"/>
        </w:rPr>
        <w:t>How can we integrate dental services more effectively with other primary care providers to support holistic patient care? Would co-location in hubs or improved GP–dentistry referral pathways support this? Please outline practical steps or incentives</w:t>
      </w:r>
      <w:r w:rsidR="004D169F" w:rsidRPr="004D169F">
        <w:rPr>
          <w:rFonts w:ascii="Atkinson Hyperlegible Next" w:hAnsi="Atkinson Hyperlegible Next" w:cstheme="minorHAnsi"/>
        </w:rPr>
        <w:t>.</w:t>
      </w:r>
    </w:p>
    <w:p w14:paraId="45FBD903" w14:textId="1C5D59BF" w:rsidR="007130C6" w:rsidRPr="00374ABD" w:rsidRDefault="00457657" w:rsidP="00374ABD">
      <w:pPr>
        <w:pStyle w:val="ListParagraph"/>
        <w:numPr>
          <w:ilvl w:val="0"/>
          <w:numId w:val="40"/>
        </w:numPr>
        <w:rPr>
          <w:rFonts w:ascii="Atkinson Hyperlegible Next" w:hAnsi="Atkinson Hyperlegible Next"/>
        </w:rPr>
      </w:pPr>
      <w:r w:rsidRPr="00374ABD">
        <w:rPr>
          <w:rFonts w:ascii="Atkinson Hyperlegible Next" w:hAnsi="Atkinson Hyperlegible Next"/>
        </w:rPr>
        <w:t>Given wide regional variation in access to NHS dentistry, what policy levers are most urgent to reduce inequalities and ensure consistent provision across England?</w:t>
      </w:r>
    </w:p>
    <w:p w14:paraId="7CC21903" w14:textId="2FED2EA1" w:rsidR="007130C6" w:rsidRPr="003E2E3E" w:rsidRDefault="007130C6" w:rsidP="007130C6">
      <w:pPr>
        <w:rPr>
          <w:rFonts w:ascii="Atkinson Hyperlegible Next" w:hAnsi="Atkinson Hyperlegible Next" w:cstheme="minorHAnsi"/>
          <w:b/>
          <w:bCs/>
          <w:color w:val="660033"/>
        </w:rPr>
      </w:pPr>
      <w:r w:rsidRPr="003E2E3E">
        <w:rPr>
          <w:rFonts w:ascii="Atkinson Hyperlegible Next" w:hAnsi="Atkinson Hyperlegible Next" w:cstheme="minorHAnsi"/>
          <w:b/>
          <w:bCs/>
          <w:color w:val="660033"/>
        </w:rPr>
        <w:t>Estates</w:t>
      </w:r>
    </w:p>
    <w:p w14:paraId="352E95F9" w14:textId="77777777" w:rsidR="00A56815" w:rsidRPr="003E2E3E" w:rsidRDefault="00A56815" w:rsidP="00A56815">
      <w:pPr>
        <w:pStyle w:val="ListParagraph"/>
        <w:numPr>
          <w:ilvl w:val="0"/>
          <w:numId w:val="3"/>
        </w:numPr>
        <w:rPr>
          <w:rFonts w:ascii="Atkinson Hyperlegible Next" w:hAnsi="Atkinson Hyperlegible Next" w:cstheme="minorHAnsi"/>
        </w:rPr>
      </w:pPr>
    </w:p>
    <w:p w14:paraId="2110EAA2" w14:textId="4448BFD7" w:rsidR="00A56815" w:rsidRPr="003E2E3E" w:rsidRDefault="007130C6" w:rsidP="00A56815">
      <w:pPr>
        <w:pStyle w:val="ListParagraph"/>
        <w:numPr>
          <w:ilvl w:val="0"/>
          <w:numId w:val="11"/>
        </w:numPr>
        <w:rPr>
          <w:rFonts w:ascii="Atkinson Hyperlegible Next" w:hAnsi="Atkinson Hyperlegible Next" w:cstheme="minorHAnsi"/>
        </w:rPr>
      </w:pPr>
      <w:r w:rsidRPr="003E2E3E">
        <w:rPr>
          <w:rFonts w:ascii="Atkinson Hyperlegible Next" w:hAnsi="Atkinson Hyperlegible Next" w:cstheme="minorHAnsi"/>
        </w:rPr>
        <w:t xml:space="preserve">How can the primary care estate be developed or </w:t>
      </w:r>
      <w:r w:rsidR="004D169F" w:rsidRPr="003E2E3E">
        <w:rPr>
          <w:rFonts w:ascii="Atkinson Hyperlegible Next" w:hAnsi="Atkinson Hyperlegible Next" w:cstheme="minorHAnsi"/>
        </w:rPr>
        <w:t>u</w:t>
      </w:r>
      <w:r w:rsidR="004D169F">
        <w:rPr>
          <w:rFonts w:ascii="Atkinson Hyperlegible Next" w:hAnsi="Atkinson Hyperlegible Next" w:cstheme="minorHAnsi"/>
        </w:rPr>
        <w:t>sed</w:t>
      </w:r>
      <w:r w:rsidR="004D169F" w:rsidRPr="003E2E3E">
        <w:rPr>
          <w:rFonts w:ascii="Atkinson Hyperlegible Next" w:hAnsi="Atkinson Hyperlegible Next" w:cstheme="minorHAnsi"/>
        </w:rPr>
        <w:t xml:space="preserve"> </w:t>
      </w:r>
      <w:r w:rsidRPr="003E2E3E">
        <w:rPr>
          <w:rFonts w:ascii="Atkinson Hyperlegible Next" w:hAnsi="Atkinson Hyperlegible Next" w:cstheme="minorHAnsi"/>
        </w:rPr>
        <w:t>to improve access to care, particularly as services shift toward a neighbourhood model with an increased emphasis on community-based delivery?</w:t>
      </w:r>
    </w:p>
    <w:p w14:paraId="4A2AE582" w14:textId="2B22C9FC" w:rsidR="00A56815" w:rsidRPr="003E2E3E" w:rsidRDefault="00A56815" w:rsidP="00F96614">
      <w:pPr>
        <w:pStyle w:val="ListParagraph"/>
        <w:numPr>
          <w:ilvl w:val="0"/>
          <w:numId w:val="11"/>
        </w:numPr>
        <w:rPr>
          <w:rFonts w:ascii="Atkinson Hyperlegible Next" w:hAnsi="Atkinson Hyperlegible Next" w:cstheme="minorHAnsi"/>
        </w:rPr>
      </w:pPr>
      <w:r w:rsidRPr="003E2E3E">
        <w:rPr>
          <w:rFonts w:ascii="Atkinson Hyperlegible Next" w:hAnsi="Atkinson Hyperlegible Next" w:cstheme="minorHAnsi"/>
        </w:rPr>
        <w:t>How can local systems better repurpose void space within GP and primary care estates, and what examples of best practice already exist?</w:t>
      </w:r>
    </w:p>
    <w:p w14:paraId="033C84BF" w14:textId="77777777" w:rsidR="00F96614" w:rsidRPr="003E2E3E" w:rsidRDefault="00F96614" w:rsidP="00F96614">
      <w:pPr>
        <w:pStyle w:val="ListParagraph"/>
        <w:ind w:left="1080"/>
        <w:rPr>
          <w:rFonts w:ascii="Atkinson Hyperlegible Next" w:hAnsi="Atkinson Hyperlegible Next" w:cstheme="minorHAnsi"/>
        </w:rPr>
      </w:pPr>
    </w:p>
    <w:p w14:paraId="63D9FC1C" w14:textId="77777777" w:rsidR="003C229D" w:rsidRPr="003E2E3E" w:rsidRDefault="003C229D" w:rsidP="00A56815">
      <w:pPr>
        <w:pStyle w:val="ListParagraph"/>
        <w:numPr>
          <w:ilvl w:val="0"/>
          <w:numId w:val="3"/>
        </w:numPr>
        <w:rPr>
          <w:rFonts w:ascii="Atkinson Hyperlegible Next" w:hAnsi="Atkinson Hyperlegible Next" w:cstheme="minorHAnsi"/>
        </w:rPr>
      </w:pPr>
    </w:p>
    <w:p w14:paraId="0DCF98F3" w14:textId="35F47193" w:rsidR="00A56815" w:rsidRPr="00374ABD" w:rsidRDefault="007130C6" w:rsidP="00374ABD">
      <w:pPr>
        <w:pStyle w:val="ListParagraph"/>
        <w:numPr>
          <w:ilvl w:val="0"/>
          <w:numId w:val="12"/>
        </w:numPr>
        <w:rPr>
          <w:rFonts w:ascii="Atkinson Hyperlegible Next" w:hAnsi="Atkinson Hyperlegible Next" w:cstheme="minorHAnsi"/>
        </w:rPr>
      </w:pPr>
      <w:r w:rsidRPr="003E2E3E">
        <w:rPr>
          <w:rFonts w:ascii="Atkinson Hyperlegible Next" w:hAnsi="Atkinson Hyperlegible Next" w:cstheme="minorHAnsi"/>
        </w:rPr>
        <w:t>What are the main barriers to investment in the primary care estate (including ownership models, funding constraints, or maintenance liabilities), and what policy or system-level measures would be most effective in overcoming these obstacles?</w:t>
      </w:r>
    </w:p>
    <w:p w14:paraId="54098376" w14:textId="4A067C20" w:rsidR="007130C6" w:rsidRPr="003E2E3E" w:rsidRDefault="007130C6" w:rsidP="007130C6">
      <w:pPr>
        <w:pStyle w:val="ListParagraph"/>
        <w:numPr>
          <w:ilvl w:val="0"/>
          <w:numId w:val="12"/>
        </w:numPr>
        <w:rPr>
          <w:rFonts w:ascii="Atkinson Hyperlegible Next" w:hAnsi="Atkinson Hyperlegible Next" w:cstheme="minorHAnsi"/>
        </w:rPr>
      </w:pPr>
      <w:r w:rsidRPr="003E2E3E">
        <w:rPr>
          <w:rFonts w:ascii="Atkinson Hyperlegible Next" w:hAnsi="Atkinson Hyperlegible Next" w:cstheme="minorHAnsi"/>
        </w:rPr>
        <w:t>How can capital allocations for primary care be better prioritised, protected, or expanded to ensure the estate is able to meet the ambitions set out in the 10-Year Health Plan, including co-location of services and modernisation of existing premises?</w:t>
      </w:r>
    </w:p>
    <w:p w14:paraId="0C051DFD" w14:textId="77777777" w:rsidR="007130C6" w:rsidRPr="003E2E3E" w:rsidRDefault="007130C6" w:rsidP="007130C6">
      <w:pPr>
        <w:rPr>
          <w:rFonts w:ascii="Atkinson Hyperlegible Next" w:hAnsi="Atkinson Hyperlegible Next" w:cstheme="minorHAnsi"/>
          <w:b/>
          <w:bCs/>
          <w:color w:val="660033"/>
        </w:rPr>
      </w:pPr>
      <w:r w:rsidRPr="003E2E3E">
        <w:rPr>
          <w:rFonts w:ascii="Atkinson Hyperlegible Next" w:hAnsi="Atkinson Hyperlegible Next" w:cstheme="minorHAnsi"/>
          <w:b/>
          <w:bCs/>
          <w:color w:val="660033"/>
        </w:rPr>
        <w:t>Workforce</w:t>
      </w:r>
    </w:p>
    <w:p w14:paraId="0E66149B" w14:textId="77777777" w:rsidR="003C229D" w:rsidRPr="003E2E3E" w:rsidRDefault="003C229D" w:rsidP="007130C6">
      <w:pPr>
        <w:pStyle w:val="ListParagraph"/>
        <w:numPr>
          <w:ilvl w:val="0"/>
          <w:numId w:val="3"/>
        </w:numPr>
        <w:rPr>
          <w:rFonts w:ascii="Atkinson Hyperlegible Next" w:hAnsi="Atkinson Hyperlegible Next" w:cstheme="minorHAnsi"/>
        </w:rPr>
      </w:pPr>
    </w:p>
    <w:p w14:paraId="3ACF0126" w14:textId="7DB5DF67" w:rsidR="003C229D" w:rsidRPr="00374ABD" w:rsidRDefault="003C229D" w:rsidP="00374ABD">
      <w:pPr>
        <w:pStyle w:val="ListParagraph"/>
        <w:numPr>
          <w:ilvl w:val="0"/>
          <w:numId w:val="14"/>
        </w:numPr>
        <w:rPr>
          <w:rFonts w:ascii="Atkinson Hyperlegible Next" w:hAnsi="Atkinson Hyperlegible Next" w:cstheme="minorHAnsi"/>
        </w:rPr>
      </w:pPr>
      <w:r w:rsidRPr="003E2E3E">
        <w:rPr>
          <w:rFonts w:ascii="Atkinson Hyperlegible Next" w:hAnsi="Atkinson Hyperlegible Next" w:cstheme="minorHAnsi"/>
        </w:rPr>
        <w:t xml:space="preserve"> </w:t>
      </w:r>
      <w:r w:rsidR="007130C6" w:rsidRPr="003E2E3E">
        <w:rPr>
          <w:rFonts w:ascii="Atkinson Hyperlegible Next" w:hAnsi="Atkinson Hyperlegible Next" w:cstheme="minorHAnsi"/>
        </w:rPr>
        <w:t>What evidence-based staffing models or multidisciplinary workforce compositions best enhance primary care capacity, improve outcomes</w:t>
      </w:r>
      <w:r w:rsidR="004D169F">
        <w:rPr>
          <w:rFonts w:ascii="Atkinson Hyperlegible Next" w:hAnsi="Atkinson Hyperlegible Next" w:cstheme="minorHAnsi"/>
        </w:rPr>
        <w:t>,</w:t>
      </w:r>
      <w:r w:rsidR="00F7504C" w:rsidRPr="003E2E3E">
        <w:rPr>
          <w:rFonts w:ascii="Atkinson Hyperlegible Next" w:hAnsi="Atkinson Hyperlegible Next" w:cstheme="minorHAnsi"/>
        </w:rPr>
        <w:t xml:space="preserve"> </w:t>
      </w:r>
      <w:r w:rsidR="007130C6" w:rsidRPr="003E2E3E">
        <w:rPr>
          <w:rFonts w:ascii="Atkinson Hyperlegible Next" w:hAnsi="Atkinson Hyperlegible Next" w:cstheme="minorHAnsi"/>
        </w:rPr>
        <w:t>and reduce pressure on GPs?</w:t>
      </w:r>
    </w:p>
    <w:p w14:paraId="423938B9" w14:textId="065C7B35" w:rsidR="007130C6" w:rsidRDefault="007130C6" w:rsidP="7F032D55">
      <w:pPr>
        <w:pStyle w:val="ListParagraph"/>
        <w:numPr>
          <w:ilvl w:val="0"/>
          <w:numId w:val="14"/>
        </w:numPr>
        <w:rPr>
          <w:rFonts w:ascii="Atkinson Hyperlegible Next" w:hAnsi="Atkinson Hyperlegible Next"/>
        </w:rPr>
      </w:pPr>
      <w:r w:rsidRPr="65889926">
        <w:rPr>
          <w:rFonts w:ascii="Atkinson Hyperlegible Next" w:hAnsi="Atkinson Hyperlegible Next"/>
        </w:rPr>
        <w:t xml:space="preserve">What role should </w:t>
      </w:r>
      <w:proofErr w:type="gramStart"/>
      <w:r w:rsidRPr="65889926">
        <w:rPr>
          <w:rFonts w:ascii="Atkinson Hyperlegible Next" w:hAnsi="Atkinson Hyperlegible Next"/>
        </w:rPr>
        <w:t>accelerated</w:t>
      </w:r>
      <w:proofErr w:type="gramEnd"/>
      <w:r w:rsidRPr="65889926">
        <w:rPr>
          <w:rFonts w:ascii="Atkinson Hyperlegible Next" w:hAnsi="Atkinson Hyperlegible Next"/>
        </w:rPr>
        <w:t xml:space="preserve"> training pathways and expanded scopes of practice (e.g. prescribing pharmacists, advanced nurse practitioners, dental therapists,</w:t>
      </w:r>
      <w:r w:rsidR="2BBBD7D9" w:rsidRPr="65889926">
        <w:rPr>
          <w:rFonts w:ascii="Atkinson Hyperlegible Next" w:hAnsi="Atkinson Hyperlegible Next"/>
        </w:rPr>
        <w:t xml:space="preserve"> </w:t>
      </w:r>
      <w:r w:rsidR="00E6250D" w:rsidRPr="65889926">
        <w:rPr>
          <w:rFonts w:ascii="Atkinson Hyperlegible Next" w:hAnsi="Atkinson Hyperlegible Next"/>
        </w:rPr>
        <w:t>independent prescribing optometrists</w:t>
      </w:r>
      <w:r w:rsidRPr="65889926">
        <w:rPr>
          <w:rFonts w:ascii="Atkinson Hyperlegible Next" w:hAnsi="Atkinson Hyperlegible Next"/>
        </w:rPr>
        <w:t xml:space="preserve">) play in strengthening </w:t>
      </w:r>
      <w:r w:rsidR="004D0C94" w:rsidRPr="65889926">
        <w:rPr>
          <w:rFonts w:ascii="Atkinson Hyperlegible Next" w:hAnsi="Atkinson Hyperlegible Next"/>
        </w:rPr>
        <w:t xml:space="preserve">GP </w:t>
      </w:r>
      <w:r w:rsidRPr="65889926">
        <w:rPr>
          <w:rFonts w:ascii="Atkinson Hyperlegible Next" w:hAnsi="Atkinson Hyperlegible Next"/>
        </w:rPr>
        <w:t>primary care?</w:t>
      </w:r>
    </w:p>
    <w:p w14:paraId="1AED6214" w14:textId="77777777" w:rsidR="00AA2FE0" w:rsidRPr="00054CF5" w:rsidRDefault="00AA2FE0" w:rsidP="00054CF5">
      <w:pPr>
        <w:pStyle w:val="ListParagraph"/>
        <w:rPr>
          <w:rFonts w:ascii="Atkinson Hyperlegible Next" w:hAnsi="Atkinson Hyperlegible Next"/>
        </w:rPr>
      </w:pPr>
    </w:p>
    <w:p w14:paraId="6B579B4A" w14:textId="77777777" w:rsidR="00AA2FE0" w:rsidRPr="003E2E3E" w:rsidRDefault="00AA2FE0" w:rsidP="00054CF5">
      <w:pPr>
        <w:pStyle w:val="ListParagraph"/>
        <w:ind w:left="1080"/>
        <w:rPr>
          <w:rFonts w:ascii="Atkinson Hyperlegible Next" w:hAnsi="Atkinson Hyperlegible Next"/>
        </w:rPr>
      </w:pPr>
    </w:p>
    <w:p w14:paraId="23F09F36" w14:textId="6795173A" w:rsidR="00AA2FE0" w:rsidRPr="003E2E3E" w:rsidRDefault="00AA2FE0" w:rsidP="00F7504C">
      <w:pPr>
        <w:pStyle w:val="ListParagraph"/>
        <w:numPr>
          <w:ilvl w:val="0"/>
          <w:numId w:val="3"/>
        </w:numPr>
        <w:rPr>
          <w:rFonts w:ascii="Atkinson Hyperlegible Next" w:hAnsi="Atkinson Hyperlegible Next" w:cstheme="minorHAnsi"/>
        </w:rPr>
      </w:pPr>
      <w:r w:rsidRPr="00AA2FE0">
        <w:rPr>
          <w:rFonts w:ascii="Atkinson Hyperlegible Next" w:hAnsi="Atkinson Hyperlegible Next" w:cstheme="minorHAnsi"/>
        </w:rPr>
        <w:t>How can reception and administrative staff in general practice, including those involved in NHS 111 and GP redirection, be better trained and supported to act as effective first points of contact and triage as digital access expands? What policies, training frameworks, or support systems are needed to help them guide patients through digital tools, care navigation, and appointment systems?</w:t>
      </w:r>
    </w:p>
    <w:p w14:paraId="01C05C71" w14:textId="77777777" w:rsidR="003C229D" w:rsidRPr="003E2E3E" w:rsidRDefault="003C229D" w:rsidP="003C229D">
      <w:pPr>
        <w:pStyle w:val="ListParagraph"/>
        <w:ind w:left="1080"/>
        <w:rPr>
          <w:rFonts w:ascii="Atkinson Hyperlegible Next" w:hAnsi="Atkinson Hyperlegible Next" w:cstheme="minorHAnsi"/>
        </w:rPr>
      </w:pPr>
    </w:p>
    <w:p w14:paraId="5FFE243B" w14:textId="77777777" w:rsidR="003C229D" w:rsidRPr="003E2E3E" w:rsidRDefault="003C229D" w:rsidP="003C229D">
      <w:pPr>
        <w:pStyle w:val="ListParagraph"/>
        <w:ind w:left="1080"/>
        <w:rPr>
          <w:rFonts w:ascii="Atkinson Hyperlegible Next" w:hAnsi="Atkinson Hyperlegible Next" w:cstheme="minorHAnsi"/>
        </w:rPr>
      </w:pPr>
    </w:p>
    <w:p w14:paraId="75F387C2" w14:textId="77777777" w:rsidR="003C229D" w:rsidRPr="003E2E3E" w:rsidRDefault="003C229D" w:rsidP="003C229D">
      <w:pPr>
        <w:pStyle w:val="ListParagraph"/>
        <w:numPr>
          <w:ilvl w:val="0"/>
          <w:numId w:val="3"/>
        </w:numPr>
        <w:rPr>
          <w:rFonts w:ascii="Atkinson Hyperlegible Next" w:hAnsi="Atkinson Hyperlegible Next" w:cstheme="minorHAnsi"/>
        </w:rPr>
      </w:pPr>
    </w:p>
    <w:p w14:paraId="1D897937" w14:textId="45D156EA" w:rsidR="007130C6" w:rsidRPr="003E2E3E" w:rsidRDefault="007130C6" w:rsidP="65889926">
      <w:pPr>
        <w:pStyle w:val="ListParagraph"/>
        <w:numPr>
          <w:ilvl w:val="0"/>
          <w:numId w:val="16"/>
        </w:numPr>
        <w:rPr>
          <w:rFonts w:ascii="Atkinson Hyperlegible Next" w:hAnsi="Atkinson Hyperlegible Next"/>
        </w:rPr>
      </w:pPr>
      <w:r w:rsidRPr="65889926">
        <w:rPr>
          <w:rFonts w:ascii="Atkinson Hyperlegible Next" w:hAnsi="Atkinson Hyperlegible Next"/>
        </w:rPr>
        <w:t>Which policies, practices, or initiatives have been most effective in recruiting, retaining, and supporting the primary care workforce across GP, dentistry, pharmacy</w:t>
      </w:r>
      <w:r w:rsidR="004D169F">
        <w:rPr>
          <w:rFonts w:ascii="Atkinson Hyperlegible Next" w:hAnsi="Atkinson Hyperlegible Next"/>
        </w:rPr>
        <w:t>,</w:t>
      </w:r>
      <w:r w:rsidRPr="65889926">
        <w:rPr>
          <w:rFonts w:ascii="Atkinson Hyperlegible Next" w:hAnsi="Atkinson Hyperlegible Next"/>
        </w:rPr>
        <w:t xml:space="preserve"> and optometry? Please provide case studies using the template provided.</w:t>
      </w:r>
      <w:r w:rsidR="3CA843BB" w:rsidRPr="65889926">
        <w:rPr>
          <w:rFonts w:ascii="Atkinson Hyperlegible Next" w:hAnsi="Atkinson Hyperlegible Next"/>
        </w:rPr>
        <w:t xml:space="preserve"> (You can also provide examples from international systems, other UK regions or non-health sectors</w:t>
      </w:r>
      <w:r w:rsidR="64710594" w:rsidRPr="65889926">
        <w:rPr>
          <w:rFonts w:ascii="Atkinson Hyperlegible Next" w:hAnsi="Atkinson Hyperlegible Next"/>
        </w:rPr>
        <w:t xml:space="preserve"> including evidence around their effectiveness and transferability in workforce development).</w:t>
      </w:r>
    </w:p>
    <w:p w14:paraId="3DFC0135" w14:textId="30B17872" w:rsidR="007130C6" w:rsidRPr="003E2E3E" w:rsidRDefault="004D169F" w:rsidP="7F032D55">
      <w:pPr>
        <w:rPr>
          <w:rFonts w:ascii="Atkinson Hyperlegible Next" w:hAnsi="Atkinson Hyperlegible Next"/>
          <w:b/>
          <w:bCs/>
          <w:color w:val="660033"/>
        </w:rPr>
      </w:pPr>
      <w:r>
        <w:rPr>
          <w:rFonts w:ascii="Atkinson Hyperlegible Next" w:hAnsi="Atkinson Hyperlegible Next"/>
          <w:b/>
          <w:bCs/>
          <w:color w:val="660033"/>
        </w:rPr>
        <w:t xml:space="preserve">Theme 4. </w:t>
      </w:r>
      <w:r w:rsidR="007130C6" w:rsidRPr="7F032D55">
        <w:rPr>
          <w:rFonts w:ascii="Atkinson Hyperlegible Next" w:hAnsi="Atkinson Hyperlegible Next"/>
          <w:b/>
          <w:bCs/>
          <w:color w:val="660033"/>
        </w:rPr>
        <w:t>Additional Considerations</w:t>
      </w:r>
    </w:p>
    <w:p w14:paraId="0EE1FB30" w14:textId="77777777" w:rsidR="003C229D" w:rsidRPr="003E2E3E" w:rsidRDefault="007130C6" w:rsidP="7F032D55">
      <w:pPr>
        <w:pStyle w:val="ListParagraph"/>
        <w:numPr>
          <w:ilvl w:val="0"/>
          <w:numId w:val="3"/>
        </w:numPr>
        <w:rPr>
          <w:rFonts w:ascii="Atkinson Hyperlegible Next" w:hAnsi="Atkinson Hyperlegible Next"/>
        </w:rPr>
      </w:pPr>
      <w:r w:rsidRPr="7F032D55">
        <w:rPr>
          <w:rFonts w:ascii="Atkinson Hyperlegible Next" w:hAnsi="Atkinson Hyperlegible Next"/>
        </w:rPr>
        <w:t>Has the Government overlooked any significant issues in its approach to improving access to primary care? What additional priorities should be considered to ensure the 10-Year Health Plan is effective?</w:t>
      </w:r>
    </w:p>
    <w:p w14:paraId="21D40C7B" w14:textId="77777777" w:rsidR="003C229D" w:rsidRPr="003E2E3E" w:rsidRDefault="003C229D" w:rsidP="003C229D">
      <w:pPr>
        <w:pStyle w:val="ListParagraph"/>
        <w:rPr>
          <w:rFonts w:ascii="Atkinson Hyperlegible Next" w:hAnsi="Atkinson Hyperlegible Next" w:cstheme="minorHAnsi"/>
        </w:rPr>
      </w:pPr>
    </w:p>
    <w:p w14:paraId="06C9E5C3" w14:textId="2A25B425" w:rsidR="003C229D" w:rsidRDefault="007130C6" w:rsidP="007130C6">
      <w:pPr>
        <w:pStyle w:val="ListParagraph"/>
        <w:numPr>
          <w:ilvl w:val="0"/>
          <w:numId w:val="3"/>
        </w:numPr>
        <w:rPr>
          <w:rFonts w:ascii="Atkinson Hyperlegible Next" w:hAnsi="Atkinson Hyperlegible Next" w:cstheme="minorHAnsi"/>
        </w:rPr>
      </w:pPr>
      <w:r w:rsidRPr="003E2E3E">
        <w:rPr>
          <w:rFonts w:ascii="Atkinson Hyperlegible Next" w:hAnsi="Atkinson Hyperlegible Next" w:cstheme="minorHAnsi"/>
        </w:rPr>
        <w:t>What opportunities exist to integrate voluntary, community</w:t>
      </w:r>
      <w:r w:rsidR="004D169F">
        <w:rPr>
          <w:rFonts w:ascii="Atkinson Hyperlegible Next" w:hAnsi="Atkinson Hyperlegible Next" w:cstheme="minorHAnsi"/>
        </w:rPr>
        <w:t>,</w:t>
      </w:r>
      <w:r w:rsidR="003866F4" w:rsidRPr="003E2E3E">
        <w:rPr>
          <w:rFonts w:ascii="Atkinson Hyperlegible Next" w:hAnsi="Atkinson Hyperlegible Next" w:cstheme="minorHAnsi"/>
        </w:rPr>
        <w:t xml:space="preserve"> </w:t>
      </w:r>
      <w:r w:rsidRPr="003E2E3E">
        <w:rPr>
          <w:rFonts w:ascii="Atkinson Hyperlegible Next" w:hAnsi="Atkinson Hyperlegible Next" w:cstheme="minorHAnsi"/>
        </w:rPr>
        <w:t>and social enterprise (VCSE) organisations into prevention and primary care pathways</w:t>
      </w:r>
      <w:r w:rsidR="003866F4" w:rsidRPr="003E2E3E">
        <w:rPr>
          <w:rFonts w:ascii="Atkinson Hyperlegible Next" w:hAnsi="Atkinson Hyperlegible Next" w:cstheme="minorHAnsi"/>
        </w:rPr>
        <w:t xml:space="preserve"> </w:t>
      </w:r>
      <w:r w:rsidRPr="003E2E3E">
        <w:rPr>
          <w:rFonts w:ascii="Atkinson Hyperlegible Next" w:hAnsi="Atkinson Hyperlegible Next" w:cstheme="minorHAnsi"/>
        </w:rPr>
        <w:t>and what case studies demonstrate successful practice?</w:t>
      </w:r>
    </w:p>
    <w:p w14:paraId="569A235F" w14:textId="77777777" w:rsidR="0040747F" w:rsidRPr="0040747F" w:rsidRDefault="0040747F" w:rsidP="00054CF5">
      <w:pPr>
        <w:pStyle w:val="ListParagraph"/>
        <w:rPr>
          <w:rFonts w:ascii="Atkinson Hyperlegible Next" w:hAnsi="Atkinson Hyperlegible Next" w:cstheme="minorHAnsi"/>
        </w:rPr>
      </w:pPr>
    </w:p>
    <w:p w14:paraId="3CDF2C74" w14:textId="24EF4AAA" w:rsidR="0040747F" w:rsidRPr="0040747F" w:rsidRDefault="0040747F" w:rsidP="007130C6">
      <w:pPr>
        <w:pStyle w:val="ListParagraph"/>
        <w:numPr>
          <w:ilvl w:val="0"/>
          <w:numId w:val="3"/>
        </w:numPr>
        <w:rPr>
          <w:rFonts w:ascii="Atkinson Hyperlegible Next" w:hAnsi="Atkinson Hyperlegible Next" w:cstheme="minorHAnsi"/>
        </w:rPr>
      </w:pPr>
      <w:r w:rsidRPr="00054CF5">
        <w:rPr>
          <w:rFonts w:ascii="Atkinson Hyperlegible Next" w:eastAsia="Segoe UI" w:hAnsi="Atkinson Hyperlegible Next" w:cs="Segoe UI"/>
        </w:rPr>
        <w:t xml:space="preserve">How should the </w:t>
      </w:r>
      <w:r w:rsidR="004D169F">
        <w:rPr>
          <w:rFonts w:ascii="Atkinson Hyperlegible Next" w:eastAsia="Segoe UI" w:hAnsi="Atkinson Hyperlegible Next" w:cs="Segoe UI"/>
        </w:rPr>
        <w:t>G</w:t>
      </w:r>
      <w:r w:rsidRPr="00054CF5">
        <w:rPr>
          <w:rFonts w:ascii="Atkinson Hyperlegible Next" w:eastAsia="Segoe UI" w:hAnsi="Atkinson Hyperlegible Next" w:cs="Segoe UI"/>
        </w:rPr>
        <w:t>overnment ensure that the public are aware of the range of specialist services available to them in primary care to avoid over reliance on the current overburdened services, and to help them access care more quickly.</w:t>
      </w:r>
    </w:p>
    <w:p w14:paraId="0A8018E6" w14:textId="77777777" w:rsidR="003C229D" w:rsidRPr="003E2E3E" w:rsidRDefault="003C229D" w:rsidP="003C229D">
      <w:pPr>
        <w:pStyle w:val="ListParagraph"/>
        <w:rPr>
          <w:rFonts w:ascii="Atkinson Hyperlegible Next" w:hAnsi="Atkinson Hyperlegible Next" w:cstheme="minorHAnsi"/>
        </w:rPr>
      </w:pPr>
    </w:p>
    <w:p w14:paraId="0E723675" w14:textId="77777777" w:rsidR="003C229D" w:rsidRPr="003E2E3E" w:rsidRDefault="007130C6" w:rsidP="007130C6">
      <w:pPr>
        <w:pStyle w:val="ListParagraph"/>
        <w:numPr>
          <w:ilvl w:val="0"/>
          <w:numId w:val="3"/>
        </w:numPr>
        <w:rPr>
          <w:rFonts w:ascii="Atkinson Hyperlegible Next" w:hAnsi="Atkinson Hyperlegible Next" w:cstheme="minorHAnsi"/>
        </w:rPr>
      </w:pPr>
      <w:r w:rsidRPr="003E2E3E">
        <w:rPr>
          <w:rFonts w:ascii="Atkinson Hyperlegible Next" w:hAnsi="Atkinson Hyperlegible Next" w:cstheme="minorHAnsi"/>
        </w:rPr>
        <w:lastRenderedPageBreak/>
        <w:t>What role should local authorities play in neighbourhood health systems and preventive public health within primary care?</w:t>
      </w:r>
    </w:p>
    <w:p w14:paraId="4E9FCD8A" w14:textId="77777777" w:rsidR="003C229D" w:rsidRPr="003E2E3E" w:rsidRDefault="003C229D" w:rsidP="003C229D">
      <w:pPr>
        <w:pStyle w:val="ListParagraph"/>
        <w:rPr>
          <w:rFonts w:ascii="Atkinson Hyperlegible Next" w:hAnsi="Atkinson Hyperlegible Next" w:cstheme="minorHAnsi"/>
        </w:rPr>
      </w:pPr>
    </w:p>
    <w:p w14:paraId="66CF5A0B" w14:textId="20FD1AA6" w:rsidR="003D5B0E" w:rsidRPr="003E2E3E" w:rsidRDefault="007130C6" w:rsidP="49529852">
      <w:pPr>
        <w:pStyle w:val="ListParagraph"/>
        <w:numPr>
          <w:ilvl w:val="0"/>
          <w:numId w:val="3"/>
        </w:numPr>
        <w:rPr>
          <w:rFonts w:ascii="Atkinson Hyperlegible Next" w:hAnsi="Atkinson Hyperlegible Next"/>
        </w:rPr>
      </w:pPr>
      <w:r w:rsidRPr="003E2E3E">
        <w:rPr>
          <w:rFonts w:ascii="Atkinson Hyperlegible Next" w:hAnsi="Atkinson Hyperlegible Next"/>
        </w:rPr>
        <w:t>What successful approaches to joined-up working, rapid access, or integrated service delivery during the COVID-19 pandemic should be re-adopted or scaled today? Please include case studies where relevant.</w:t>
      </w:r>
    </w:p>
    <w:p w14:paraId="75D4BEE0" w14:textId="763F3446" w:rsidR="00F96614" w:rsidRPr="003E2E3E" w:rsidRDefault="00F96614" w:rsidP="00F96614">
      <w:pPr>
        <w:pStyle w:val="Heading1"/>
        <w:pBdr>
          <w:bottom w:val="single" w:sz="6" w:space="1" w:color="auto"/>
        </w:pBdr>
        <w:spacing w:before="0" w:line="240" w:lineRule="auto"/>
        <w:rPr>
          <w:rFonts w:ascii="Atkinson Hyperlegible Next" w:hAnsi="Atkinson Hyperlegible Next"/>
          <w:color w:val="993366"/>
          <w:sz w:val="36"/>
          <w:szCs w:val="36"/>
        </w:rPr>
      </w:pPr>
      <w:r w:rsidRPr="003E2E3E">
        <w:rPr>
          <w:rFonts w:ascii="Atkinson Hyperlegible Next" w:hAnsi="Atkinson Hyperlegible Next"/>
          <w:color w:val="993366"/>
          <w:sz w:val="36"/>
          <w:szCs w:val="36"/>
        </w:rPr>
        <w:t>Additional Evidence</w:t>
      </w:r>
    </w:p>
    <w:p w14:paraId="06981B3F" w14:textId="2F7D6198" w:rsidR="00904F26" w:rsidRPr="003E2E3E" w:rsidRDefault="00904F26" w:rsidP="00904F26">
      <w:pPr>
        <w:rPr>
          <w:rFonts w:ascii="Atkinson Hyperlegible Next" w:eastAsiaTheme="minorEastAsia" w:hAnsi="Atkinson Hyperlegible Next" w:cstheme="minorHAnsi"/>
        </w:rPr>
      </w:pPr>
      <w:r w:rsidRPr="003E2E3E">
        <w:rPr>
          <w:rFonts w:ascii="Atkinson Hyperlegible Next" w:eastAsiaTheme="minorEastAsia" w:hAnsi="Atkinson Hyperlegible Next" w:cstheme="minorHAnsi"/>
        </w:rPr>
        <w:t>Please feel free to send any additional evidence or information that might support our inquiry but has not been covered in our research questions, by attaching a separate document to your email in either Microsoft Word or PDF format. We are also keen to receive papers, data, or reports that you or your organisation have completed. We would appreciate any data submissions, statistics or case studies showing what works and what does not.</w:t>
      </w:r>
    </w:p>
    <w:p w14:paraId="59F6C72A" w14:textId="492895A1" w:rsidR="00904F26" w:rsidRPr="003E2E3E" w:rsidRDefault="00F96614" w:rsidP="00BD4B92">
      <w:pPr>
        <w:pStyle w:val="Heading1"/>
        <w:pBdr>
          <w:bottom w:val="single" w:sz="6" w:space="1" w:color="auto"/>
        </w:pBdr>
        <w:spacing w:before="0" w:line="240" w:lineRule="auto"/>
        <w:rPr>
          <w:rFonts w:ascii="Atkinson Hyperlegible Next" w:hAnsi="Atkinson Hyperlegible Next"/>
          <w:color w:val="993366"/>
          <w:sz w:val="36"/>
          <w:szCs w:val="36"/>
        </w:rPr>
      </w:pPr>
      <w:r w:rsidRPr="003E2E3E">
        <w:rPr>
          <w:rFonts w:ascii="Atkinson Hyperlegible Next" w:hAnsi="Atkinson Hyperlegible Next"/>
          <w:color w:val="993366"/>
          <w:sz w:val="36"/>
          <w:szCs w:val="36"/>
        </w:rPr>
        <w:t>Submissions Permissions</w:t>
      </w:r>
    </w:p>
    <w:p w14:paraId="45EA392C" w14:textId="121B503A" w:rsidR="00052940" w:rsidRDefault="00052940" w:rsidP="00904F26">
      <w:pPr>
        <w:rPr>
          <w:rFonts w:ascii="Atkinson Hyperlegible Next" w:eastAsiaTheme="minorEastAsia" w:hAnsi="Atkinson Hyperlegible Next" w:cstheme="minorHAnsi"/>
        </w:rPr>
      </w:pPr>
      <w:proofErr w:type="gramStart"/>
      <w:r>
        <w:rPr>
          <w:rFonts w:ascii="Atkinson Hyperlegible Next" w:eastAsiaTheme="minorEastAsia" w:hAnsi="Atkinson Hyperlegible Next" w:cstheme="minorHAnsi"/>
        </w:rPr>
        <w:t>In order for</w:t>
      </w:r>
      <w:proofErr w:type="gramEnd"/>
      <w:r>
        <w:rPr>
          <w:rFonts w:ascii="Atkinson Hyperlegible Next" w:eastAsiaTheme="minorEastAsia" w:hAnsi="Atkinson Hyperlegible Next" w:cstheme="minorHAnsi"/>
        </w:rPr>
        <w:t xml:space="preserve"> us to consider your evidence, please ensure that you answer the following questions as part of your submission: </w:t>
      </w:r>
    </w:p>
    <w:p w14:paraId="14B1C672" w14:textId="315D969F" w:rsidR="00904F26" w:rsidRDefault="00904F26" w:rsidP="00904F26">
      <w:pPr>
        <w:pStyle w:val="ListParagraph"/>
        <w:numPr>
          <w:ilvl w:val="0"/>
          <w:numId w:val="18"/>
        </w:numPr>
        <w:pBdr>
          <w:top w:val="nil"/>
          <w:left w:val="nil"/>
          <w:bottom w:val="nil"/>
          <w:right w:val="nil"/>
          <w:between w:val="nil"/>
          <w:bar w:val="nil"/>
        </w:pBdr>
        <w:spacing w:after="0" w:line="240" w:lineRule="auto"/>
        <w:rPr>
          <w:rFonts w:ascii="Atkinson Hyperlegible Next" w:eastAsiaTheme="minorEastAsia" w:hAnsi="Atkinson Hyperlegible Next" w:cstheme="minorHAnsi"/>
        </w:rPr>
      </w:pPr>
      <w:r w:rsidRPr="003E2E3E">
        <w:rPr>
          <w:rFonts w:ascii="Atkinson Hyperlegible Next" w:eastAsiaTheme="minorEastAsia" w:hAnsi="Atkinson Hyperlegible Next" w:cstheme="minorHAnsi"/>
        </w:rPr>
        <w:t xml:space="preserve">Do you give permission for the report to quote your submission? </w:t>
      </w:r>
    </w:p>
    <w:p w14:paraId="170DB115" w14:textId="655F8876" w:rsidR="00052940" w:rsidRPr="00374ABD" w:rsidRDefault="00052940" w:rsidP="00374ABD">
      <w:pPr>
        <w:pStyle w:val="ListParagraph"/>
        <w:numPr>
          <w:ilvl w:val="1"/>
          <w:numId w:val="18"/>
        </w:numPr>
        <w:pBdr>
          <w:top w:val="nil"/>
          <w:left w:val="nil"/>
          <w:bottom w:val="nil"/>
          <w:right w:val="nil"/>
          <w:between w:val="nil"/>
          <w:bar w:val="nil"/>
        </w:pBdr>
        <w:spacing w:after="0" w:line="240" w:lineRule="auto"/>
        <w:rPr>
          <w:rFonts w:ascii="Atkinson Hyperlegible Next" w:eastAsiaTheme="minorEastAsia" w:hAnsi="Atkinson Hyperlegible Next" w:cstheme="minorHAnsi"/>
        </w:rPr>
      </w:pPr>
      <w:r>
        <w:rPr>
          <w:rFonts w:ascii="Atkinson Hyperlegible Next" w:eastAsiaTheme="minorEastAsia" w:hAnsi="Atkinson Hyperlegible Next" w:cstheme="minorHAnsi"/>
        </w:rPr>
        <w:t>Yes/No</w:t>
      </w:r>
    </w:p>
    <w:p w14:paraId="0316D278" w14:textId="6160097A" w:rsidR="00904F26" w:rsidRDefault="00904F26" w:rsidP="00904F26">
      <w:pPr>
        <w:pStyle w:val="ListParagraph"/>
        <w:numPr>
          <w:ilvl w:val="0"/>
          <w:numId w:val="18"/>
        </w:numPr>
        <w:pBdr>
          <w:top w:val="nil"/>
          <w:left w:val="nil"/>
          <w:bottom w:val="nil"/>
          <w:right w:val="nil"/>
          <w:between w:val="nil"/>
          <w:bar w:val="nil"/>
        </w:pBdr>
        <w:spacing w:after="0" w:line="240" w:lineRule="auto"/>
        <w:rPr>
          <w:rFonts w:ascii="Atkinson Hyperlegible Next" w:eastAsiaTheme="minorEastAsia" w:hAnsi="Atkinson Hyperlegible Next" w:cstheme="minorHAnsi"/>
        </w:rPr>
      </w:pPr>
      <w:r w:rsidRPr="003E2E3E">
        <w:rPr>
          <w:rFonts w:ascii="Atkinson Hyperlegible Next" w:eastAsiaTheme="minorEastAsia" w:hAnsi="Atkinson Hyperlegible Next" w:cstheme="minorHAnsi"/>
        </w:rPr>
        <w:t xml:space="preserve">May we attribute the submission to the organisation you belong to? </w:t>
      </w:r>
    </w:p>
    <w:p w14:paraId="1CD70A2A" w14:textId="45120CDC" w:rsidR="00052940" w:rsidRDefault="00052940" w:rsidP="00052940">
      <w:pPr>
        <w:pStyle w:val="ListParagraph"/>
        <w:numPr>
          <w:ilvl w:val="1"/>
          <w:numId w:val="18"/>
        </w:numPr>
        <w:pBdr>
          <w:top w:val="nil"/>
          <w:left w:val="nil"/>
          <w:bottom w:val="nil"/>
          <w:right w:val="nil"/>
          <w:between w:val="nil"/>
          <w:bar w:val="nil"/>
        </w:pBdr>
        <w:spacing w:after="0" w:line="240" w:lineRule="auto"/>
        <w:rPr>
          <w:rFonts w:ascii="Atkinson Hyperlegible Next" w:eastAsiaTheme="minorEastAsia" w:hAnsi="Atkinson Hyperlegible Next" w:cstheme="minorHAnsi"/>
        </w:rPr>
      </w:pPr>
      <w:r>
        <w:rPr>
          <w:rFonts w:ascii="Atkinson Hyperlegible Next" w:eastAsiaTheme="minorEastAsia" w:hAnsi="Atkinson Hyperlegible Next" w:cstheme="minorHAnsi"/>
        </w:rPr>
        <w:t>Yes/No</w:t>
      </w:r>
    </w:p>
    <w:p w14:paraId="6E5ED120" w14:textId="5B002B19" w:rsidR="00052940" w:rsidRPr="003E2E3E" w:rsidRDefault="00052940" w:rsidP="00374ABD">
      <w:pPr>
        <w:pStyle w:val="ListParagraph"/>
        <w:numPr>
          <w:ilvl w:val="1"/>
          <w:numId w:val="18"/>
        </w:numPr>
        <w:pBdr>
          <w:top w:val="nil"/>
          <w:left w:val="nil"/>
          <w:bottom w:val="nil"/>
          <w:right w:val="nil"/>
          <w:between w:val="nil"/>
          <w:bar w:val="nil"/>
        </w:pBdr>
        <w:spacing w:after="0" w:line="240" w:lineRule="auto"/>
        <w:rPr>
          <w:rFonts w:ascii="Atkinson Hyperlegible Next" w:eastAsiaTheme="minorEastAsia" w:hAnsi="Atkinson Hyperlegible Next" w:cstheme="minorHAnsi"/>
        </w:rPr>
      </w:pPr>
      <w:r>
        <w:rPr>
          <w:rFonts w:ascii="Atkinson Hyperlegible Next" w:eastAsiaTheme="minorEastAsia" w:hAnsi="Atkinson Hyperlegible Next" w:cstheme="minorHAnsi"/>
        </w:rPr>
        <w:t>Name of organisation:</w:t>
      </w:r>
    </w:p>
    <w:p w14:paraId="1D35E508" w14:textId="14FDDA96" w:rsidR="00904F26" w:rsidRDefault="00904F26" w:rsidP="00BD4B92">
      <w:pPr>
        <w:pStyle w:val="ListParagraph"/>
        <w:numPr>
          <w:ilvl w:val="0"/>
          <w:numId w:val="18"/>
        </w:numPr>
        <w:pBdr>
          <w:top w:val="nil"/>
          <w:left w:val="nil"/>
          <w:bottom w:val="nil"/>
          <w:right w:val="nil"/>
          <w:between w:val="nil"/>
          <w:bar w:val="nil"/>
        </w:pBdr>
        <w:spacing w:after="0" w:line="240" w:lineRule="auto"/>
        <w:rPr>
          <w:rFonts w:ascii="Atkinson Hyperlegible Next" w:eastAsiaTheme="minorEastAsia" w:hAnsi="Atkinson Hyperlegible Next" w:cstheme="minorHAnsi"/>
        </w:rPr>
      </w:pPr>
      <w:r w:rsidRPr="003E2E3E">
        <w:rPr>
          <w:rFonts w:ascii="Atkinson Hyperlegible Next" w:eastAsiaTheme="minorEastAsia" w:hAnsi="Atkinson Hyperlegible Next" w:cstheme="minorHAnsi"/>
        </w:rPr>
        <w:t>May we attribute the submission to you personally, listing your job role</w:t>
      </w:r>
      <w:r w:rsidR="00BD4B92" w:rsidRPr="003E2E3E">
        <w:rPr>
          <w:rFonts w:ascii="Atkinson Hyperlegible Next" w:eastAsiaTheme="minorEastAsia" w:hAnsi="Atkinson Hyperlegible Next" w:cstheme="minorHAnsi"/>
        </w:rPr>
        <w:t>?</w:t>
      </w:r>
    </w:p>
    <w:p w14:paraId="1CDF80E3" w14:textId="56C356DC" w:rsidR="00052940" w:rsidRDefault="00052940" w:rsidP="00052940">
      <w:pPr>
        <w:pStyle w:val="ListParagraph"/>
        <w:numPr>
          <w:ilvl w:val="1"/>
          <w:numId w:val="18"/>
        </w:numPr>
        <w:pBdr>
          <w:top w:val="nil"/>
          <w:left w:val="nil"/>
          <w:bottom w:val="nil"/>
          <w:right w:val="nil"/>
          <w:between w:val="nil"/>
          <w:bar w:val="nil"/>
        </w:pBdr>
        <w:spacing w:after="0" w:line="240" w:lineRule="auto"/>
        <w:rPr>
          <w:rFonts w:ascii="Atkinson Hyperlegible Next" w:eastAsiaTheme="minorEastAsia" w:hAnsi="Atkinson Hyperlegible Next" w:cstheme="minorHAnsi"/>
        </w:rPr>
      </w:pPr>
      <w:r>
        <w:rPr>
          <w:rFonts w:ascii="Atkinson Hyperlegible Next" w:eastAsiaTheme="minorEastAsia" w:hAnsi="Atkinson Hyperlegible Next" w:cstheme="minorHAnsi"/>
        </w:rPr>
        <w:t>Yes/No</w:t>
      </w:r>
    </w:p>
    <w:p w14:paraId="319C0BF5" w14:textId="4EE463AE" w:rsidR="00052940" w:rsidRDefault="00052940" w:rsidP="00052940">
      <w:pPr>
        <w:pStyle w:val="ListParagraph"/>
        <w:numPr>
          <w:ilvl w:val="1"/>
          <w:numId w:val="18"/>
        </w:numPr>
        <w:pBdr>
          <w:top w:val="nil"/>
          <w:left w:val="nil"/>
          <w:bottom w:val="nil"/>
          <w:right w:val="nil"/>
          <w:between w:val="nil"/>
          <w:bar w:val="nil"/>
        </w:pBdr>
        <w:spacing w:after="0" w:line="240" w:lineRule="auto"/>
        <w:rPr>
          <w:rFonts w:ascii="Atkinson Hyperlegible Next" w:eastAsiaTheme="minorEastAsia" w:hAnsi="Atkinson Hyperlegible Next" w:cstheme="minorHAnsi"/>
        </w:rPr>
      </w:pPr>
      <w:r>
        <w:rPr>
          <w:rFonts w:ascii="Atkinson Hyperlegible Next" w:eastAsiaTheme="minorEastAsia" w:hAnsi="Atkinson Hyperlegible Next" w:cstheme="minorHAnsi"/>
        </w:rPr>
        <w:t xml:space="preserve">Full name: </w:t>
      </w:r>
    </w:p>
    <w:p w14:paraId="6381E828" w14:textId="04D27198" w:rsidR="00052940" w:rsidRPr="003E2E3E" w:rsidRDefault="00052940" w:rsidP="00374ABD">
      <w:pPr>
        <w:pStyle w:val="ListParagraph"/>
        <w:numPr>
          <w:ilvl w:val="1"/>
          <w:numId w:val="18"/>
        </w:numPr>
        <w:pBdr>
          <w:top w:val="nil"/>
          <w:left w:val="nil"/>
          <w:bottom w:val="nil"/>
          <w:right w:val="nil"/>
          <w:between w:val="nil"/>
          <w:bar w:val="nil"/>
        </w:pBdr>
        <w:spacing w:after="0" w:line="240" w:lineRule="auto"/>
        <w:rPr>
          <w:rFonts w:ascii="Atkinson Hyperlegible Next" w:eastAsiaTheme="minorEastAsia" w:hAnsi="Atkinson Hyperlegible Next" w:cstheme="minorHAnsi"/>
        </w:rPr>
      </w:pPr>
      <w:r>
        <w:rPr>
          <w:rFonts w:ascii="Atkinson Hyperlegible Next" w:eastAsiaTheme="minorEastAsia" w:hAnsi="Atkinson Hyperlegible Next" w:cstheme="minorHAnsi"/>
        </w:rPr>
        <w:t>Job role:</w:t>
      </w:r>
    </w:p>
    <w:p w14:paraId="605C311C" w14:textId="4BD4E945" w:rsidR="00BD4B92" w:rsidRPr="00374ABD" w:rsidRDefault="00BD4B92" w:rsidP="00BD4B92">
      <w:pPr>
        <w:pStyle w:val="ListParagraph"/>
        <w:numPr>
          <w:ilvl w:val="0"/>
          <w:numId w:val="18"/>
        </w:numPr>
        <w:pBdr>
          <w:top w:val="nil"/>
          <w:left w:val="nil"/>
          <w:bottom w:val="nil"/>
          <w:right w:val="nil"/>
          <w:between w:val="nil"/>
          <w:bar w:val="nil"/>
        </w:pBdr>
        <w:spacing w:after="0" w:line="240" w:lineRule="auto"/>
        <w:rPr>
          <w:rFonts w:ascii="Atkinson Hyperlegible Next" w:eastAsiaTheme="minorEastAsia" w:hAnsi="Atkinson Hyperlegible Next" w:cstheme="minorHAnsi"/>
        </w:rPr>
      </w:pPr>
      <w:r w:rsidRPr="003E2E3E">
        <w:rPr>
          <w:rFonts w:ascii="Atkinson Hyperlegible Next" w:hAnsi="Atkinson Hyperlegible Next"/>
        </w:rPr>
        <w:t>Would you be interested in providing further evidence via a short call or online interview?</w:t>
      </w:r>
    </w:p>
    <w:p w14:paraId="6165FD25" w14:textId="23669F07" w:rsidR="00052940" w:rsidRPr="003E2E3E" w:rsidRDefault="00052940" w:rsidP="00374ABD">
      <w:pPr>
        <w:pStyle w:val="ListParagraph"/>
        <w:numPr>
          <w:ilvl w:val="1"/>
          <w:numId w:val="18"/>
        </w:numPr>
        <w:pBdr>
          <w:top w:val="nil"/>
          <w:left w:val="nil"/>
          <w:bottom w:val="nil"/>
          <w:right w:val="nil"/>
          <w:between w:val="nil"/>
          <w:bar w:val="nil"/>
        </w:pBdr>
        <w:spacing w:after="0" w:line="240" w:lineRule="auto"/>
        <w:rPr>
          <w:rFonts w:ascii="Atkinson Hyperlegible Next" w:eastAsiaTheme="minorEastAsia" w:hAnsi="Atkinson Hyperlegible Next" w:cstheme="minorHAnsi"/>
        </w:rPr>
      </w:pPr>
      <w:r>
        <w:rPr>
          <w:rFonts w:ascii="Atkinson Hyperlegible Next" w:hAnsi="Atkinson Hyperlegible Next"/>
        </w:rPr>
        <w:t>Yes/No</w:t>
      </w:r>
    </w:p>
    <w:p w14:paraId="35542556" w14:textId="0B01831B" w:rsidR="00BD4B92" w:rsidRPr="003E2E3E" w:rsidRDefault="00BD4B92" w:rsidP="00BD4B92">
      <w:pPr>
        <w:pStyle w:val="SmallHeading1"/>
        <w:keepNext/>
        <w:keepLines/>
        <w:rPr>
          <w:rFonts w:ascii="Atkinson Hyperlegible Next" w:eastAsia="Calibri" w:hAnsi="Atkinson Hyperlegible Next" w:cstheme="minorHAnsi"/>
          <w:color w:val="660033"/>
          <w:sz w:val="28"/>
          <w:szCs w:val="28"/>
        </w:rPr>
      </w:pPr>
      <w:r w:rsidRPr="003E2E3E">
        <w:rPr>
          <w:rFonts w:ascii="Atkinson Hyperlegible Next" w:hAnsi="Atkinson Hyperlegible Next" w:cstheme="minorHAnsi"/>
          <w:color w:val="660033"/>
          <w:sz w:val="28"/>
          <w:szCs w:val="28"/>
        </w:rPr>
        <w:t xml:space="preserve">Policy Connect </w:t>
      </w:r>
    </w:p>
    <w:p w14:paraId="4A112F0F" w14:textId="70631C2E" w:rsidR="00374ABD" w:rsidRPr="00374ABD" w:rsidRDefault="00374ABD" w:rsidP="00374ABD">
      <w:pPr>
        <w:textAlignment w:val="baseline"/>
        <w:rPr>
          <w:rFonts w:ascii="Atkinson Hyperlegible Next" w:hAnsi="Atkinson Hyperlegible Next" w:cstheme="minorHAnsi"/>
          <w:lang w:eastAsia="en-GB"/>
        </w:rPr>
      </w:pPr>
      <w:r w:rsidRPr="00374ABD">
        <w:rPr>
          <w:rFonts w:ascii="Atkinson Hyperlegible Next" w:hAnsi="Atkinson Hyperlegible Next" w:cstheme="minorHAnsi"/>
          <w:lang w:eastAsia="en-GB"/>
        </w:rPr>
        <w:t xml:space="preserve">Policy Connect is a cross-party think tank. We specialise in supporting parliamentary groups, forums and commissions, delivering impactful policy research and event programmes and bringing together parliamentarians and government in collaboration with academia, business and civil society to help shape public policy in Westminster and Whitehall, </w:t>
      </w:r>
      <w:proofErr w:type="gramStart"/>
      <w:r w:rsidRPr="00374ABD">
        <w:rPr>
          <w:rFonts w:ascii="Atkinson Hyperlegible Next" w:hAnsi="Atkinson Hyperlegible Next" w:cstheme="minorHAnsi"/>
          <w:lang w:eastAsia="en-GB"/>
        </w:rPr>
        <w:t>so as to</w:t>
      </w:r>
      <w:proofErr w:type="gramEnd"/>
      <w:r w:rsidRPr="00374ABD">
        <w:rPr>
          <w:rFonts w:ascii="Atkinson Hyperlegible Next" w:hAnsi="Atkinson Hyperlegible Next" w:cstheme="minorHAnsi"/>
          <w:lang w:eastAsia="en-GB"/>
        </w:rPr>
        <w:t xml:space="preserve"> improve people’s lives.</w:t>
      </w:r>
      <w:r>
        <w:rPr>
          <w:rFonts w:ascii="Atkinson Hyperlegible Next" w:hAnsi="Atkinson Hyperlegible Next" w:cstheme="minorHAnsi"/>
          <w:lang w:eastAsia="en-GB"/>
        </w:rPr>
        <w:t xml:space="preserve"> </w:t>
      </w:r>
      <w:r w:rsidRPr="00374ABD">
        <w:rPr>
          <w:rFonts w:ascii="Atkinson Hyperlegible Next" w:hAnsi="Atkinson Hyperlegible Next" w:cstheme="minorHAnsi"/>
          <w:lang w:eastAsia="en-GB"/>
        </w:rPr>
        <w:t>Our work focusses on five key policy areas which are: Education &amp; Skills; Industry; Sustainability; Health; and Accessibility.</w:t>
      </w:r>
    </w:p>
    <w:p w14:paraId="0531C9EE" w14:textId="77777777" w:rsidR="00374ABD" w:rsidRDefault="00374ABD" w:rsidP="00374ABD">
      <w:pPr>
        <w:textAlignment w:val="baseline"/>
        <w:rPr>
          <w:rFonts w:ascii="Atkinson Hyperlegible Next" w:hAnsi="Atkinson Hyperlegible Next" w:cstheme="minorHAnsi"/>
          <w:lang w:eastAsia="en-GB"/>
        </w:rPr>
      </w:pPr>
      <w:r w:rsidRPr="00374ABD">
        <w:rPr>
          <w:rFonts w:ascii="Atkinson Hyperlegible Next" w:hAnsi="Atkinson Hyperlegible Next" w:cstheme="minorHAnsi"/>
          <w:lang w:eastAsia="en-GB"/>
        </w:rPr>
        <w:t>We are a social enterprise and are funded by a combination of regular annual membership subscriptions and time-limited sponsorships. We are proud to be a Disability Confident and London Living Wage employer, and a member of Social Enterprise UK.</w:t>
      </w:r>
    </w:p>
    <w:p w14:paraId="20DAC556" w14:textId="152D480D" w:rsidR="00BD4B92" w:rsidRPr="003E2E3E" w:rsidRDefault="00BD4B92" w:rsidP="00374ABD">
      <w:pPr>
        <w:textAlignment w:val="baseline"/>
        <w:rPr>
          <w:rFonts w:ascii="Atkinson Hyperlegible Next" w:hAnsi="Atkinson Hyperlegible Next" w:cstheme="minorHAnsi"/>
          <w:b/>
          <w:bCs/>
          <w:lang w:eastAsia="en-GB"/>
        </w:rPr>
      </w:pPr>
      <w:r w:rsidRPr="003E2E3E">
        <w:rPr>
          <w:rFonts w:ascii="Atkinson Hyperlegible Next" w:hAnsi="Atkinson Hyperlegible Next" w:cstheme="minorHAnsi"/>
          <w:b/>
          <w:bCs/>
          <w:color w:val="660033"/>
          <w:sz w:val="28"/>
          <w:szCs w:val="28"/>
        </w:rPr>
        <w:t xml:space="preserve">All Party-Parliamentary Health Group </w:t>
      </w:r>
    </w:p>
    <w:p w14:paraId="6F899905" w14:textId="01B2A921" w:rsidR="00F96614" w:rsidRPr="003E2E3E" w:rsidRDefault="00BD4B92" w:rsidP="15E45D35">
      <w:pPr>
        <w:rPr>
          <w:rFonts w:ascii="Atkinson Hyperlegible Next" w:hAnsi="Atkinson Hyperlegible Next"/>
          <w:lang w:eastAsia="en-GB"/>
        </w:rPr>
      </w:pPr>
      <w:r w:rsidRPr="003E2E3E">
        <w:rPr>
          <w:rFonts w:ascii="Atkinson Hyperlegible Next" w:hAnsi="Atkinson Hyperlegible Next"/>
          <w:lang w:eastAsia="en-GB"/>
        </w:rPr>
        <w:t xml:space="preserve">The All-Party Parliamentary Health Group (APHG) is a cross-party group chaired by Dr Simon Opher MP, with active cross-party support from parliamentarians and Peers, to connect Parliament with business, academia and civil society to promote better policy making across healthcare. The APHG facilitates effective, productive communication and exchange between </w:t>
      </w:r>
      <w:r w:rsidRPr="003E2E3E">
        <w:rPr>
          <w:rFonts w:ascii="Atkinson Hyperlegible Next" w:hAnsi="Atkinson Hyperlegible Next"/>
          <w:lang w:eastAsia="en-GB"/>
        </w:rPr>
        <w:lastRenderedPageBreak/>
        <w:t>Parliament, Government, and the public, private, academia and third sectors. To achieve this, Policy Connect delivers a programme of parliamentary roundtables and larger symposia, publishes reports and papers using the evidence from these sessions, and conducts direct government engagement to take forward the ideas from meetings and recommendations from reports and papers. </w:t>
      </w:r>
    </w:p>
    <w:sectPr w:rsidR="00F96614" w:rsidRPr="003E2E3E" w:rsidSect="000E5EAD">
      <w:headerReference w:type="default" r:id="rId14"/>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2516" w14:textId="77777777" w:rsidR="00224A50" w:rsidRDefault="00224A50" w:rsidP="00BD4B92">
      <w:pPr>
        <w:spacing w:after="0" w:line="240" w:lineRule="auto"/>
      </w:pPr>
      <w:r>
        <w:separator/>
      </w:r>
    </w:p>
  </w:endnote>
  <w:endnote w:type="continuationSeparator" w:id="0">
    <w:p w14:paraId="77AA1E06" w14:textId="77777777" w:rsidR="00224A50" w:rsidRDefault="00224A50" w:rsidP="00BD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tkinson Hyperlegible Next">
    <w:panose1 w:val="00000000000000000000"/>
    <w:charset w:val="4D"/>
    <w:family w:val="auto"/>
    <w:notTrueType/>
    <w:pitch w:val="variable"/>
    <w:sig w:usb0="A000006F" w:usb1="0000600A" w:usb2="00000000" w:usb3="00000000" w:csb0="00000093"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68A4" w14:textId="77777777" w:rsidR="00224A50" w:rsidRDefault="00224A50" w:rsidP="00BD4B92">
      <w:pPr>
        <w:spacing w:after="0" w:line="240" w:lineRule="auto"/>
      </w:pPr>
      <w:r>
        <w:separator/>
      </w:r>
    </w:p>
  </w:footnote>
  <w:footnote w:type="continuationSeparator" w:id="0">
    <w:p w14:paraId="21D3AA7E" w14:textId="77777777" w:rsidR="00224A50" w:rsidRDefault="00224A50" w:rsidP="00BD4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58E47AF" w14:paraId="0089F9D5" w14:textId="77777777" w:rsidTr="058E47AF">
      <w:trPr>
        <w:trHeight w:val="300"/>
      </w:trPr>
      <w:tc>
        <w:tcPr>
          <w:tcW w:w="3005" w:type="dxa"/>
        </w:tcPr>
        <w:p w14:paraId="539A48A7" w14:textId="76245908" w:rsidR="058E47AF" w:rsidRDefault="058E47AF" w:rsidP="000E5EAD">
          <w:pPr>
            <w:pStyle w:val="Header"/>
          </w:pPr>
        </w:p>
      </w:tc>
      <w:tc>
        <w:tcPr>
          <w:tcW w:w="3005" w:type="dxa"/>
        </w:tcPr>
        <w:p w14:paraId="0B90CE9A" w14:textId="4E83C5C3" w:rsidR="058E47AF" w:rsidRDefault="058E47AF" w:rsidP="058E47AF">
          <w:pPr>
            <w:pStyle w:val="Header"/>
            <w:jc w:val="center"/>
          </w:pPr>
        </w:p>
      </w:tc>
      <w:tc>
        <w:tcPr>
          <w:tcW w:w="3005" w:type="dxa"/>
        </w:tcPr>
        <w:p w14:paraId="7F14A63C" w14:textId="53731B10" w:rsidR="058E47AF" w:rsidRDefault="058E47AF" w:rsidP="058E47AF">
          <w:pPr>
            <w:pStyle w:val="Header"/>
            <w:ind w:right="-115"/>
            <w:jc w:val="right"/>
          </w:pPr>
        </w:p>
      </w:tc>
    </w:tr>
  </w:tbl>
  <w:p w14:paraId="2F94BC36" w14:textId="6B788110" w:rsidR="058E47AF" w:rsidRDefault="000E5EAD" w:rsidP="058E47AF">
    <w:pPr>
      <w:pStyle w:val="Header"/>
    </w:pPr>
    <w:r>
      <w:rPr>
        <w:noProof/>
      </w:rPr>
      <w:drawing>
        <wp:anchor distT="0" distB="0" distL="114300" distR="114300" simplePos="0" relativeHeight="251658240" behindDoc="0" locked="0" layoutInCell="1" allowOverlap="1" wp14:anchorId="1D1266AF" wp14:editId="3E78FB17">
          <wp:simplePos x="0" y="0"/>
          <wp:positionH relativeFrom="column">
            <wp:posOffset>-676910</wp:posOffset>
          </wp:positionH>
          <wp:positionV relativeFrom="paragraph">
            <wp:posOffset>-385868</wp:posOffset>
          </wp:positionV>
          <wp:extent cx="2268855" cy="812165"/>
          <wp:effectExtent l="0" t="0" r="4445" b="635"/>
          <wp:wrapThrough wrapText="bothSides">
            <wp:wrapPolygon edited="0">
              <wp:start x="0" y="0"/>
              <wp:lineTo x="0" y="21279"/>
              <wp:lineTo x="21521" y="21279"/>
              <wp:lineTo x="21521" y="0"/>
              <wp:lineTo x="0" y="0"/>
            </wp:wrapPolygon>
          </wp:wrapThrough>
          <wp:docPr id="1555935578" name="Picture 3" descr="A logo with a pink x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35578" name="Picture 3" descr="A logo with a pink x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8855" cy="812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6AC"/>
    <w:multiLevelType w:val="hybridMultilevel"/>
    <w:tmpl w:val="84369D86"/>
    <w:lvl w:ilvl="0" w:tplc="135CEDD8">
      <w:start w:val="1"/>
      <w:numFmt w:val="decimal"/>
      <w:lvlText w:val="%1."/>
      <w:lvlJc w:val="left"/>
      <w:pPr>
        <w:ind w:left="720" w:hanging="360"/>
      </w:pPr>
      <w:rPr>
        <w:rFonts w:asciiTheme="minorHAnsi" w:eastAsiaTheme="minorEastAsia" w:hAnsiTheme="minorHAnsi"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54CF1"/>
    <w:multiLevelType w:val="hybridMultilevel"/>
    <w:tmpl w:val="1E9E063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C65411F"/>
    <w:multiLevelType w:val="hybridMultilevel"/>
    <w:tmpl w:val="0C602FAA"/>
    <w:lvl w:ilvl="0" w:tplc="044424CE">
      <w:start w:val="1"/>
      <w:numFmt w:val="lowerLetter"/>
      <w:lvlText w:val="%1)"/>
      <w:lvlJc w:val="left"/>
      <w:pPr>
        <w:ind w:left="1020" w:hanging="360"/>
      </w:pPr>
    </w:lvl>
    <w:lvl w:ilvl="1" w:tplc="78BEB596">
      <w:start w:val="1"/>
      <w:numFmt w:val="lowerLetter"/>
      <w:lvlText w:val="%2)"/>
      <w:lvlJc w:val="left"/>
      <w:pPr>
        <w:ind w:left="1020" w:hanging="360"/>
      </w:pPr>
    </w:lvl>
    <w:lvl w:ilvl="2" w:tplc="C2305A84">
      <w:start w:val="1"/>
      <w:numFmt w:val="lowerLetter"/>
      <w:lvlText w:val="%3)"/>
      <w:lvlJc w:val="left"/>
      <w:pPr>
        <w:ind w:left="1020" w:hanging="360"/>
      </w:pPr>
    </w:lvl>
    <w:lvl w:ilvl="3" w:tplc="11C4FC02">
      <w:start w:val="1"/>
      <w:numFmt w:val="lowerLetter"/>
      <w:lvlText w:val="%4)"/>
      <w:lvlJc w:val="left"/>
      <w:pPr>
        <w:ind w:left="1020" w:hanging="360"/>
      </w:pPr>
    </w:lvl>
    <w:lvl w:ilvl="4" w:tplc="983E277E">
      <w:start w:val="1"/>
      <w:numFmt w:val="lowerLetter"/>
      <w:lvlText w:val="%5)"/>
      <w:lvlJc w:val="left"/>
      <w:pPr>
        <w:ind w:left="1020" w:hanging="360"/>
      </w:pPr>
    </w:lvl>
    <w:lvl w:ilvl="5" w:tplc="831EB11E">
      <w:start w:val="1"/>
      <w:numFmt w:val="lowerLetter"/>
      <w:lvlText w:val="%6)"/>
      <w:lvlJc w:val="left"/>
      <w:pPr>
        <w:ind w:left="1020" w:hanging="360"/>
      </w:pPr>
    </w:lvl>
    <w:lvl w:ilvl="6" w:tplc="437C752E">
      <w:start w:val="1"/>
      <w:numFmt w:val="lowerLetter"/>
      <w:lvlText w:val="%7)"/>
      <w:lvlJc w:val="left"/>
      <w:pPr>
        <w:ind w:left="1020" w:hanging="360"/>
      </w:pPr>
    </w:lvl>
    <w:lvl w:ilvl="7" w:tplc="C818C2A6">
      <w:start w:val="1"/>
      <w:numFmt w:val="lowerLetter"/>
      <w:lvlText w:val="%8)"/>
      <w:lvlJc w:val="left"/>
      <w:pPr>
        <w:ind w:left="1020" w:hanging="360"/>
      </w:pPr>
    </w:lvl>
    <w:lvl w:ilvl="8" w:tplc="D0E222EC">
      <w:start w:val="1"/>
      <w:numFmt w:val="lowerLetter"/>
      <w:lvlText w:val="%9)"/>
      <w:lvlJc w:val="left"/>
      <w:pPr>
        <w:ind w:left="1020" w:hanging="360"/>
      </w:pPr>
    </w:lvl>
  </w:abstractNum>
  <w:abstractNum w:abstractNumId="3" w15:restartNumberingAfterBreak="0">
    <w:nsid w:val="0E8C5112"/>
    <w:multiLevelType w:val="hybridMultilevel"/>
    <w:tmpl w:val="5C52486C"/>
    <w:lvl w:ilvl="0" w:tplc="BDE6A3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5815FF"/>
    <w:multiLevelType w:val="hybridMultilevel"/>
    <w:tmpl w:val="8408CA68"/>
    <w:lvl w:ilvl="0" w:tplc="BDE6A3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CE0060"/>
    <w:multiLevelType w:val="multilevel"/>
    <w:tmpl w:val="401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1589F"/>
    <w:multiLevelType w:val="hybridMultilevel"/>
    <w:tmpl w:val="277E6A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50300C"/>
    <w:multiLevelType w:val="hybridMultilevel"/>
    <w:tmpl w:val="FC02A356"/>
    <w:lvl w:ilvl="0" w:tplc="E59E63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905A42"/>
    <w:multiLevelType w:val="hybridMultilevel"/>
    <w:tmpl w:val="03C62CF6"/>
    <w:lvl w:ilvl="0" w:tplc="BDE6A3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A32D5E"/>
    <w:multiLevelType w:val="hybridMultilevel"/>
    <w:tmpl w:val="4BCC3370"/>
    <w:lvl w:ilvl="0" w:tplc="BDE6A3F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C4318E"/>
    <w:multiLevelType w:val="hybridMultilevel"/>
    <w:tmpl w:val="B8F053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721ADC"/>
    <w:multiLevelType w:val="hybridMultilevel"/>
    <w:tmpl w:val="87903F7A"/>
    <w:lvl w:ilvl="0" w:tplc="C950B024">
      <w:start w:val="1"/>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EDE2B8B"/>
    <w:multiLevelType w:val="hybridMultilevel"/>
    <w:tmpl w:val="1D7A4304"/>
    <w:lvl w:ilvl="0" w:tplc="BDE6A3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DE02A1"/>
    <w:multiLevelType w:val="hybridMultilevel"/>
    <w:tmpl w:val="F260F3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15079B"/>
    <w:multiLevelType w:val="hybridMultilevel"/>
    <w:tmpl w:val="12EC36BC"/>
    <w:lvl w:ilvl="0" w:tplc="BDE6A3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89775A"/>
    <w:multiLevelType w:val="hybridMultilevel"/>
    <w:tmpl w:val="22266B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A1256E"/>
    <w:multiLevelType w:val="hybridMultilevel"/>
    <w:tmpl w:val="3BFEFAC6"/>
    <w:lvl w:ilvl="0" w:tplc="BDE6A3F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082BEE"/>
    <w:multiLevelType w:val="hybridMultilevel"/>
    <w:tmpl w:val="2990FC70"/>
    <w:lvl w:ilvl="0" w:tplc="0D8ADA22">
      <w:start w:val="2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577EC8"/>
    <w:multiLevelType w:val="hybridMultilevel"/>
    <w:tmpl w:val="26E689B6"/>
    <w:lvl w:ilvl="0" w:tplc="BB9E1B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5D268D"/>
    <w:multiLevelType w:val="hybridMultilevel"/>
    <w:tmpl w:val="6EAACD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5A1028E"/>
    <w:multiLevelType w:val="hybridMultilevel"/>
    <w:tmpl w:val="4EC8CC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C379D3"/>
    <w:multiLevelType w:val="hybridMultilevel"/>
    <w:tmpl w:val="EF44ABD6"/>
    <w:lvl w:ilvl="0" w:tplc="0D8ADA22">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2120D0"/>
    <w:multiLevelType w:val="hybridMultilevel"/>
    <w:tmpl w:val="05AC0D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4204D"/>
    <w:multiLevelType w:val="hybridMultilevel"/>
    <w:tmpl w:val="CDD02E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33DDE"/>
    <w:multiLevelType w:val="hybridMultilevel"/>
    <w:tmpl w:val="6D18D2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1D1C66"/>
    <w:multiLevelType w:val="hybridMultilevel"/>
    <w:tmpl w:val="AF247326"/>
    <w:lvl w:ilvl="0" w:tplc="D340D110">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74D68CB"/>
    <w:multiLevelType w:val="hybridMultilevel"/>
    <w:tmpl w:val="6912608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9DA36B5"/>
    <w:multiLevelType w:val="hybridMultilevel"/>
    <w:tmpl w:val="93EAFA32"/>
    <w:lvl w:ilvl="0" w:tplc="135CEDD8">
      <w:start w:val="1"/>
      <w:numFmt w:val="decimal"/>
      <w:lvlText w:val="%1."/>
      <w:lvlJc w:val="left"/>
      <w:pPr>
        <w:ind w:left="720" w:hanging="360"/>
      </w:pPr>
      <w:rPr>
        <w:rFonts w:asciiTheme="minorHAnsi" w:eastAsiaTheme="minorEastAsia" w:hAnsiTheme="minorHAns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3A1351"/>
    <w:multiLevelType w:val="hybridMultilevel"/>
    <w:tmpl w:val="805A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753323"/>
    <w:multiLevelType w:val="hybridMultilevel"/>
    <w:tmpl w:val="076A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51B57"/>
    <w:multiLevelType w:val="hybridMultilevel"/>
    <w:tmpl w:val="0C880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243784"/>
    <w:multiLevelType w:val="hybridMultilevel"/>
    <w:tmpl w:val="FA24FE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7403EC"/>
    <w:multiLevelType w:val="hybridMultilevel"/>
    <w:tmpl w:val="38AC6DCC"/>
    <w:lvl w:ilvl="0" w:tplc="BDE6A3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5FB2CC3"/>
    <w:multiLevelType w:val="hybridMultilevel"/>
    <w:tmpl w:val="ECA656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D03544"/>
    <w:multiLevelType w:val="hybridMultilevel"/>
    <w:tmpl w:val="6F94F740"/>
    <w:lvl w:ilvl="0" w:tplc="BDE6A3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B29309A"/>
    <w:multiLevelType w:val="hybridMultilevel"/>
    <w:tmpl w:val="378668E0"/>
    <w:lvl w:ilvl="0" w:tplc="8C3C502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BB9E1B4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1C70D6"/>
    <w:multiLevelType w:val="multilevel"/>
    <w:tmpl w:val="DE144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start w:val="4"/>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A1533C"/>
    <w:multiLevelType w:val="hybridMultilevel"/>
    <w:tmpl w:val="884C72DA"/>
    <w:lvl w:ilvl="0" w:tplc="BDE6A3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EAD077F"/>
    <w:multiLevelType w:val="hybridMultilevel"/>
    <w:tmpl w:val="850CB508"/>
    <w:lvl w:ilvl="0" w:tplc="C950B024">
      <w:start w:val="1"/>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B007E9"/>
    <w:multiLevelType w:val="hybridMultilevel"/>
    <w:tmpl w:val="732A98CA"/>
    <w:lvl w:ilvl="0" w:tplc="BDE6A3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53488866">
    <w:abstractNumId w:val="36"/>
  </w:num>
  <w:num w:numId="2" w16cid:durableId="36007182">
    <w:abstractNumId w:val="5"/>
  </w:num>
  <w:num w:numId="3" w16cid:durableId="2028944920">
    <w:abstractNumId w:val="35"/>
  </w:num>
  <w:num w:numId="4" w16cid:durableId="1248265568">
    <w:abstractNumId w:val="11"/>
  </w:num>
  <w:num w:numId="5" w16cid:durableId="1800227249">
    <w:abstractNumId w:val="24"/>
  </w:num>
  <w:num w:numId="6" w16cid:durableId="1011224702">
    <w:abstractNumId w:val="4"/>
  </w:num>
  <w:num w:numId="7" w16cid:durableId="365258371">
    <w:abstractNumId w:val="39"/>
  </w:num>
  <w:num w:numId="8" w16cid:durableId="1225603657">
    <w:abstractNumId w:val="22"/>
  </w:num>
  <w:num w:numId="9" w16cid:durableId="1875191770">
    <w:abstractNumId w:val="12"/>
  </w:num>
  <w:num w:numId="10" w16cid:durableId="1072461823">
    <w:abstractNumId w:val="32"/>
  </w:num>
  <w:num w:numId="11" w16cid:durableId="355159118">
    <w:abstractNumId w:val="14"/>
  </w:num>
  <w:num w:numId="12" w16cid:durableId="1523473864">
    <w:abstractNumId w:val="8"/>
  </w:num>
  <w:num w:numId="13" w16cid:durableId="2024353181">
    <w:abstractNumId w:val="9"/>
  </w:num>
  <w:num w:numId="14" w16cid:durableId="1192572732">
    <w:abstractNumId w:val="3"/>
  </w:num>
  <w:num w:numId="15" w16cid:durableId="1914511637">
    <w:abstractNumId w:val="34"/>
  </w:num>
  <w:num w:numId="16" w16cid:durableId="588808051">
    <w:abstractNumId w:val="37"/>
  </w:num>
  <w:num w:numId="17" w16cid:durableId="810513263">
    <w:abstractNumId w:val="16"/>
  </w:num>
  <w:num w:numId="18" w16cid:durableId="1490906682">
    <w:abstractNumId w:val="0"/>
  </w:num>
  <w:num w:numId="19" w16cid:durableId="340664737">
    <w:abstractNumId w:val="27"/>
  </w:num>
  <w:num w:numId="20" w16cid:durableId="1600944955">
    <w:abstractNumId w:val="29"/>
  </w:num>
  <w:num w:numId="21" w16cid:durableId="1171066216">
    <w:abstractNumId w:val="21"/>
  </w:num>
  <w:num w:numId="22" w16cid:durableId="2103331022">
    <w:abstractNumId w:val="17"/>
  </w:num>
  <w:num w:numId="23" w16cid:durableId="2062435370">
    <w:abstractNumId w:val="26"/>
  </w:num>
  <w:num w:numId="24" w16cid:durableId="328944839">
    <w:abstractNumId w:val="2"/>
  </w:num>
  <w:num w:numId="25" w16cid:durableId="2094207186">
    <w:abstractNumId w:val="7"/>
  </w:num>
  <w:num w:numId="26" w16cid:durableId="1607732200">
    <w:abstractNumId w:val="38"/>
  </w:num>
  <w:num w:numId="27" w16cid:durableId="1945527387">
    <w:abstractNumId w:val="20"/>
  </w:num>
  <w:num w:numId="28" w16cid:durableId="1396127825">
    <w:abstractNumId w:val="15"/>
  </w:num>
  <w:num w:numId="29" w16cid:durableId="889611132">
    <w:abstractNumId w:val="33"/>
  </w:num>
  <w:num w:numId="30" w16cid:durableId="2046247758">
    <w:abstractNumId w:val="18"/>
  </w:num>
  <w:num w:numId="31" w16cid:durableId="852301051">
    <w:abstractNumId w:val="25"/>
  </w:num>
  <w:num w:numId="32" w16cid:durableId="1946188681">
    <w:abstractNumId w:val="1"/>
  </w:num>
  <w:num w:numId="33" w16cid:durableId="1840654450">
    <w:abstractNumId w:val="30"/>
  </w:num>
  <w:num w:numId="34" w16cid:durableId="1747217195">
    <w:abstractNumId w:val="6"/>
  </w:num>
  <w:num w:numId="35" w16cid:durableId="1772356409">
    <w:abstractNumId w:val="28"/>
  </w:num>
  <w:num w:numId="36" w16cid:durableId="512649964">
    <w:abstractNumId w:val="10"/>
  </w:num>
  <w:num w:numId="37" w16cid:durableId="974601722">
    <w:abstractNumId w:val="23"/>
  </w:num>
  <w:num w:numId="38" w16cid:durableId="878011183">
    <w:abstractNumId w:val="31"/>
  </w:num>
  <w:num w:numId="39" w16cid:durableId="1906262124">
    <w:abstractNumId w:val="13"/>
  </w:num>
  <w:num w:numId="40" w16cid:durableId="5325031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C6"/>
    <w:rsid w:val="0003534E"/>
    <w:rsid w:val="0004161B"/>
    <w:rsid w:val="00052940"/>
    <w:rsid w:val="00054CF5"/>
    <w:rsid w:val="000776E5"/>
    <w:rsid w:val="000C0C75"/>
    <w:rsid w:val="000E34FC"/>
    <w:rsid w:val="000E5EAD"/>
    <w:rsid w:val="001056CF"/>
    <w:rsid w:val="00135029"/>
    <w:rsid w:val="001557FA"/>
    <w:rsid w:val="00170441"/>
    <w:rsid w:val="0019409D"/>
    <w:rsid w:val="001A2B02"/>
    <w:rsid w:val="001A6B8A"/>
    <w:rsid w:val="001B5D6D"/>
    <w:rsid w:val="001F778F"/>
    <w:rsid w:val="00220675"/>
    <w:rsid w:val="00224A50"/>
    <w:rsid w:val="00235E9D"/>
    <w:rsid w:val="002B2D4E"/>
    <w:rsid w:val="002B5CA6"/>
    <w:rsid w:val="002C6863"/>
    <w:rsid w:val="002D42E5"/>
    <w:rsid w:val="00335EF2"/>
    <w:rsid w:val="0036025F"/>
    <w:rsid w:val="00374ABD"/>
    <w:rsid w:val="00375B77"/>
    <w:rsid w:val="003866F4"/>
    <w:rsid w:val="003C1F48"/>
    <w:rsid w:val="003C229D"/>
    <w:rsid w:val="003C3E93"/>
    <w:rsid w:val="003D5B0E"/>
    <w:rsid w:val="003E2E3E"/>
    <w:rsid w:val="003F26CC"/>
    <w:rsid w:val="004046DF"/>
    <w:rsid w:val="0040747F"/>
    <w:rsid w:val="0041551D"/>
    <w:rsid w:val="00433897"/>
    <w:rsid w:val="00457657"/>
    <w:rsid w:val="00474C42"/>
    <w:rsid w:val="004D0C94"/>
    <w:rsid w:val="004D169F"/>
    <w:rsid w:val="004D6AB1"/>
    <w:rsid w:val="005143EB"/>
    <w:rsid w:val="00553285"/>
    <w:rsid w:val="005875BE"/>
    <w:rsid w:val="005A524A"/>
    <w:rsid w:val="005C6B22"/>
    <w:rsid w:val="005D363B"/>
    <w:rsid w:val="00600174"/>
    <w:rsid w:val="00604CE9"/>
    <w:rsid w:val="006330B9"/>
    <w:rsid w:val="006802EC"/>
    <w:rsid w:val="00686646"/>
    <w:rsid w:val="00691661"/>
    <w:rsid w:val="00695892"/>
    <w:rsid w:val="00697EEB"/>
    <w:rsid w:val="006B4785"/>
    <w:rsid w:val="006E75DE"/>
    <w:rsid w:val="007130C6"/>
    <w:rsid w:val="00721D3A"/>
    <w:rsid w:val="007338B6"/>
    <w:rsid w:val="0077717D"/>
    <w:rsid w:val="00791B61"/>
    <w:rsid w:val="007E4153"/>
    <w:rsid w:val="007E6946"/>
    <w:rsid w:val="007F3DA5"/>
    <w:rsid w:val="00800FE9"/>
    <w:rsid w:val="00826A04"/>
    <w:rsid w:val="00833954"/>
    <w:rsid w:val="008461F1"/>
    <w:rsid w:val="00865381"/>
    <w:rsid w:val="008C4F07"/>
    <w:rsid w:val="008F13AE"/>
    <w:rsid w:val="008F7257"/>
    <w:rsid w:val="00904F26"/>
    <w:rsid w:val="00962EFA"/>
    <w:rsid w:val="009E15B4"/>
    <w:rsid w:val="009F023A"/>
    <w:rsid w:val="009F2EEA"/>
    <w:rsid w:val="00A04172"/>
    <w:rsid w:val="00A345B7"/>
    <w:rsid w:val="00A47BB0"/>
    <w:rsid w:val="00A53ECF"/>
    <w:rsid w:val="00A56815"/>
    <w:rsid w:val="00A83496"/>
    <w:rsid w:val="00AA2FE0"/>
    <w:rsid w:val="00AA73D0"/>
    <w:rsid w:val="00AE3A68"/>
    <w:rsid w:val="00AE71B5"/>
    <w:rsid w:val="00AF4E25"/>
    <w:rsid w:val="00B31D1D"/>
    <w:rsid w:val="00B47219"/>
    <w:rsid w:val="00BC7AB2"/>
    <w:rsid w:val="00BD41A4"/>
    <w:rsid w:val="00BD4B92"/>
    <w:rsid w:val="00BE6B39"/>
    <w:rsid w:val="00C2387E"/>
    <w:rsid w:val="00C311C1"/>
    <w:rsid w:val="00C423A3"/>
    <w:rsid w:val="00C50529"/>
    <w:rsid w:val="00CE01E9"/>
    <w:rsid w:val="00D11BE3"/>
    <w:rsid w:val="00D25A0B"/>
    <w:rsid w:val="00E14422"/>
    <w:rsid w:val="00E6250D"/>
    <w:rsid w:val="00E71753"/>
    <w:rsid w:val="00E86303"/>
    <w:rsid w:val="00EE65E4"/>
    <w:rsid w:val="00EF4416"/>
    <w:rsid w:val="00F56256"/>
    <w:rsid w:val="00F7504C"/>
    <w:rsid w:val="00F82538"/>
    <w:rsid w:val="00F96614"/>
    <w:rsid w:val="00FE2DD6"/>
    <w:rsid w:val="00FF14D0"/>
    <w:rsid w:val="03D8CBE5"/>
    <w:rsid w:val="04CCFC50"/>
    <w:rsid w:val="058E47AF"/>
    <w:rsid w:val="083E17B2"/>
    <w:rsid w:val="0877C90C"/>
    <w:rsid w:val="08CD374B"/>
    <w:rsid w:val="0AA2763C"/>
    <w:rsid w:val="0F31974B"/>
    <w:rsid w:val="15E45D35"/>
    <w:rsid w:val="1833FD6C"/>
    <w:rsid w:val="19757F40"/>
    <w:rsid w:val="197FBF21"/>
    <w:rsid w:val="1A096B8E"/>
    <w:rsid w:val="1BAD2310"/>
    <w:rsid w:val="1C38DA93"/>
    <w:rsid w:val="206BEC39"/>
    <w:rsid w:val="22EF684D"/>
    <w:rsid w:val="24BFFDFF"/>
    <w:rsid w:val="274DDA63"/>
    <w:rsid w:val="2A8CD151"/>
    <w:rsid w:val="2BBBD7D9"/>
    <w:rsid w:val="2EA01D42"/>
    <w:rsid w:val="2F27D4FE"/>
    <w:rsid w:val="305B34B0"/>
    <w:rsid w:val="356C0FED"/>
    <w:rsid w:val="38D705BA"/>
    <w:rsid w:val="3CA843BB"/>
    <w:rsid w:val="3D046B46"/>
    <w:rsid w:val="3E22F87D"/>
    <w:rsid w:val="40D34E07"/>
    <w:rsid w:val="424BF062"/>
    <w:rsid w:val="4311EEF8"/>
    <w:rsid w:val="4460AF5F"/>
    <w:rsid w:val="44DD48B3"/>
    <w:rsid w:val="46FEE1CB"/>
    <w:rsid w:val="49529852"/>
    <w:rsid w:val="50D643A0"/>
    <w:rsid w:val="50E7BA49"/>
    <w:rsid w:val="5143394B"/>
    <w:rsid w:val="588DECBD"/>
    <w:rsid w:val="5B5478D9"/>
    <w:rsid w:val="5CB4470C"/>
    <w:rsid w:val="5DA15F97"/>
    <w:rsid w:val="5E94032D"/>
    <w:rsid w:val="5EBBF699"/>
    <w:rsid w:val="602E71E8"/>
    <w:rsid w:val="61F313A5"/>
    <w:rsid w:val="64710594"/>
    <w:rsid w:val="65889926"/>
    <w:rsid w:val="65D3465C"/>
    <w:rsid w:val="69733887"/>
    <w:rsid w:val="6CCA54DE"/>
    <w:rsid w:val="714A1753"/>
    <w:rsid w:val="7E49F34D"/>
    <w:rsid w:val="7F032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91F36"/>
  <w15:chartTrackingRefBased/>
  <w15:docId w15:val="{98C8AAA4-EC2E-4D20-8748-04DBF357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3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eading 2 new"/>
    <w:basedOn w:val="Normal"/>
    <w:next w:val="Normal"/>
    <w:link w:val="Heading3Char"/>
    <w:uiPriority w:val="9"/>
    <w:unhideWhenUsed/>
    <w:qFormat/>
    <w:rsid w:val="007130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0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0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0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30C6"/>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eading 2 new Char"/>
    <w:basedOn w:val="DefaultParagraphFont"/>
    <w:link w:val="Heading3"/>
    <w:uiPriority w:val="9"/>
    <w:rsid w:val="007130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0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0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0C6"/>
    <w:rPr>
      <w:rFonts w:eastAsiaTheme="majorEastAsia" w:cstheme="majorBidi"/>
      <w:color w:val="272727" w:themeColor="text1" w:themeTint="D8"/>
    </w:rPr>
  </w:style>
  <w:style w:type="paragraph" w:styleId="Title">
    <w:name w:val="Title"/>
    <w:basedOn w:val="Normal"/>
    <w:next w:val="Normal"/>
    <w:link w:val="TitleChar"/>
    <w:uiPriority w:val="10"/>
    <w:qFormat/>
    <w:rsid w:val="00713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0C6"/>
    <w:pPr>
      <w:spacing w:before="160"/>
      <w:jc w:val="center"/>
    </w:pPr>
    <w:rPr>
      <w:i/>
      <w:iCs/>
      <w:color w:val="404040" w:themeColor="text1" w:themeTint="BF"/>
    </w:rPr>
  </w:style>
  <w:style w:type="character" w:customStyle="1" w:styleId="QuoteChar">
    <w:name w:val="Quote Char"/>
    <w:basedOn w:val="DefaultParagraphFont"/>
    <w:link w:val="Quote"/>
    <w:uiPriority w:val="29"/>
    <w:rsid w:val="007130C6"/>
    <w:rPr>
      <w:i/>
      <w:iCs/>
      <w:color w:val="404040" w:themeColor="text1" w:themeTint="BF"/>
    </w:rPr>
  </w:style>
  <w:style w:type="paragraph" w:styleId="ListParagraph">
    <w:name w:val="List Paragraph"/>
    <w:basedOn w:val="Normal"/>
    <w:uiPriority w:val="34"/>
    <w:qFormat/>
    <w:rsid w:val="007130C6"/>
    <w:pPr>
      <w:ind w:left="720"/>
      <w:contextualSpacing/>
    </w:pPr>
  </w:style>
  <w:style w:type="character" w:styleId="IntenseEmphasis">
    <w:name w:val="Intense Emphasis"/>
    <w:basedOn w:val="DefaultParagraphFont"/>
    <w:uiPriority w:val="21"/>
    <w:qFormat/>
    <w:rsid w:val="007130C6"/>
    <w:rPr>
      <w:i/>
      <w:iCs/>
      <w:color w:val="2F5496" w:themeColor="accent1" w:themeShade="BF"/>
    </w:rPr>
  </w:style>
  <w:style w:type="paragraph" w:styleId="IntenseQuote">
    <w:name w:val="Intense Quote"/>
    <w:basedOn w:val="Normal"/>
    <w:next w:val="Normal"/>
    <w:link w:val="IntenseQuoteChar"/>
    <w:uiPriority w:val="30"/>
    <w:qFormat/>
    <w:rsid w:val="00713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0C6"/>
    <w:rPr>
      <w:i/>
      <w:iCs/>
      <w:color w:val="2F5496" w:themeColor="accent1" w:themeShade="BF"/>
    </w:rPr>
  </w:style>
  <w:style w:type="character" w:styleId="IntenseReference">
    <w:name w:val="Intense Reference"/>
    <w:basedOn w:val="DefaultParagraphFont"/>
    <w:uiPriority w:val="32"/>
    <w:qFormat/>
    <w:rsid w:val="007130C6"/>
    <w:rPr>
      <w:b/>
      <w:bCs/>
      <w:smallCaps/>
      <w:color w:val="2F5496" w:themeColor="accent1" w:themeShade="BF"/>
      <w:spacing w:val="5"/>
    </w:rPr>
  </w:style>
  <w:style w:type="character" w:styleId="Hyperlink">
    <w:name w:val="Hyperlink"/>
    <w:basedOn w:val="DefaultParagraphFont"/>
    <w:uiPriority w:val="99"/>
    <w:unhideWhenUsed/>
    <w:rsid w:val="00904F26"/>
    <w:rPr>
      <w:color w:val="0563C1" w:themeColor="hyperlink"/>
      <w:u w:val="single"/>
    </w:rPr>
  </w:style>
  <w:style w:type="character" w:styleId="UnresolvedMention">
    <w:name w:val="Unresolved Mention"/>
    <w:basedOn w:val="DefaultParagraphFont"/>
    <w:uiPriority w:val="99"/>
    <w:semiHidden/>
    <w:unhideWhenUsed/>
    <w:rsid w:val="005A524A"/>
    <w:rPr>
      <w:color w:val="605E5C"/>
      <w:shd w:val="clear" w:color="auto" w:fill="E1DFDD"/>
    </w:rPr>
  </w:style>
  <w:style w:type="paragraph" w:styleId="Header">
    <w:name w:val="header"/>
    <w:basedOn w:val="Normal"/>
    <w:link w:val="HeaderChar"/>
    <w:uiPriority w:val="99"/>
    <w:unhideWhenUsed/>
    <w:rsid w:val="00BD4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B92"/>
  </w:style>
  <w:style w:type="paragraph" w:styleId="Footer">
    <w:name w:val="footer"/>
    <w:basedOn w:val="Normal"/>
    <w:link w:val="FooterChar"/>
    <w:uiPriority w:val="99"/>
    <w:unhideWhenUsed/>
    <w:rsid w:val="00BD4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B92"/>
  </w:style>
  <w:style w:type="paragraph" w:customStyle="1" w:styleId="SmallHeading1">
    <w:name w:val="Small Heading 1"/>
    <w:basedOn w:val="Normal"/>
    <w:link w:val="SmallHeading1Char"/>
    <w:uiPriority w:val="1"/>
    <w:qFormat/>
    <w:rsid w:val="00BD4B92"/>
    <w:pPr>
      <w:spacing w:before="240" w:line="257" w:lineRule="auto"/>
    </w:pPr>
    <w:rPr>
      <w:rFonts w:eastAsiaTheme="minorEastAsia"/>
      <w:b/>
      <w:bCs/>
      <w:color w:val="DC5034"/>
      <w:sz w:val="26"/>
      <w:szCs w:val="26"/>
    </w:rPr>
  </w:style>
  <w:style w:type="character" w:customStyle="1" w:styleId="SmallHeading1Char">
    <w:name w:val="Small Heading 1  Char"/>
    <w:basedOn w:val="DefaultParagraphFont"/>
    <w:link w:val="SmallHeading1"/>
    <w:uiPriority w:val="1"/>
    <w:rsid w:val="00BD4B92"/>
    <w:rPr>
      <w:rFonts w:eastAsiaTheme="minorEastAsia"/>
      <w:b/>
      <w:bCs/>
      <w:color w:val="DC5034"/>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A83496"/>
    <w:rPr>
      <w:b/>
      <w:bCs/>
    </w:rPr>
  </w:style>
  <w:style w:type="character" w:customStyle="1" w:styleId="CommentSubjectChar">
    <w:name w:val="Comment Subject Char"/>
    <w:basedOn w:val="CommentTextChar"/>
    <w:link w:val="CommentSubject"/>
    <w:uiPriority w:val="99"/>
    <w:semiHidden/>
    <w:rsid w:val="00A83496"/>
    <w:rPr>
      <w:b/>
      <w:bCs/>
      <w:sz w:val="20"/>
      <w:szCs w:val="20"/>
    </w:rPr>
  </w:style>
  <w:style w:type="paragraph" w:styleId="Revision">
    <w:name w:val="Revision"/>
    <w:hidden/>
    <w:uiPriority w:val="99"/>
    <w:semiHidden/>
    <w:rsid w:val="007771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smin.adebisi@policyconnec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C.Health@policyconnec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AAD69055D214A9883C50C94788FDC" ma:contentTypeVersion="18" ma:contentTypeDescription="Create a new document." ma:contentTypeScope="" ma:versionID="13cdc81d2a6a923a385433d59313762e">
  <xsd:schema xmlns:xsd="http://www.w3.org/2001/XMLSchema" xmlns:xs="http://www.w3.org/2001/XMLSchema" xmlns:p="http://schemas.microsoft.com/office/2006/metadata/properties" xmlns:ns3="1edc751c-f227-4e67-955a-852ae4d37ee1" xmlns:ns4="34605cf1-7af1-4035-a7c9-90ac78bd7bc1" targetNamespace="http://schemas.microsoft.com/office/2006/metadata/properties" ma:root="true" ma:fieldsID="7bac4ca4373b6d889f55be612c960bf9" ns3:_="" ns4:_="">
    <xsd:import namespace="1edc751c-f227-4e67-955a-852ae4d37ee1"/>
    <xsd:import namespace="34605cf1-7af1-4035-a7c9-90ac78bd7b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c751c-f227-4e67-955a-852ae4d37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05cf1-7af1-4035-a7c9-90ac78bd7b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dc751c-f227-4e67-955a-852ae4d37ee1" xsi:nil="true"/>
  </documentManagement>
</p:properties>
</file>

<file path=customXml/itemProps1.xml><?xml version="1.0" encoding="utf-8"?>
<ds:datastoreItem xmlns:ds="http://schemas.openxmlformats.org/officeDocument/2006/customXml" ds:itemID="{C7B8C597-C731-4790-8466-3398FD23B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c751c-f227-4e67-955a-852ae4d37ee1"/>
    <ds:schemaRef ds:uri="34605cf1-7af1-4035-a7c9-90ac78bd7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89DA6-BD14-4F0F-A717-21EF7DE05C16}">
  <ds:schemaRefs>
    <ds:schemaRef ds:uri="http://schemas.microsoft.com/sharepoint/v3/contenttype/forms"/>
  </ds:schemaRefs>
</ds:datastoreItem>
</file>

<file path=customXml/itemProps3.xml><?xml version="1.0" encoding="utf-8"?>
<ds:datastoreItem xmlns:ds="http://schemas.openxmlformats.org/officeDocument/2006/customXml" ds:itemID="{A0B6D13D-2053-4DC9-BDDC-6D9DEAE41555}">
  <ds:schemaRefs>
    <ds:schemaRef ds:uri="http://schemas.microsoft.com/office/2006/metadata/properties"/>
    <ds:schemaRef ds:uri="http://schemas.microsoft.com/office/infopath/2007/PartnerControls"/>
    <ds:schemaRef ds:uri="1edc751c-f227-4e67-955a-852ae4d37ee1"/>
  </ds:schemaRefs>
</ds:datastoreItem>
</file>

<file path=docMetadata/LabelInfo.xml><?xml version="1.0" encoding="utf-8"?>
<clbl:labelList xmlns:clbl="http://schemas.microsoft.com/office/2020/mipLabelMetadata">
  <clbl:label id="{a8829c05-2e59-4882-b9bd-81e7ad23d52f}" enabled="1" method="Standard" siteId="{93552ae1-a035-497f-ba1e-a2f3e27183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2343</Words>
  <Characters>14203</Characters>
  <Application>Microsoft Office Word</Application>
  <DocSecurity>0</DocSecurity>
  <Lines>302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Adebisi</dc:creator>
  <cp:keywords/>
  <dc:description/>
  <cp:lastModifiedBy>Victoria Zeybrandt</cp:lastModifiedBy>
  <cp:revision>3</cp:revision>
  <dcterms:created xsi:type="dcterms:W3CDTF">2026-01-15T11:26:00Z</dcterms:created>
  <dcterms:modified xsi:type="dcterms:W3CDTF">2026-01-26T12:00:00Z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0x010100032AAD69055D214A9883C50C94788FDC</vt:lpwstr>
  </property>
  <property fmtid="{D5CDD505-2E9C-101B-9397-08002B2CF9AE}" pid="3" name="MediaServiceImageTags">
    <vt:lpwstr/>
  </property>
</Properties>
</file>